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Override PartName="/word/footer2.xml" ContentType="application/vnd.openxmlformats-officedocument.wordprocessingml.footer+xml"/>
  <Default Extension="jpeg" ContentType="image/jpeg"/>
  <Default Extension="png" ContentType="image/png"/>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Title"/>
      </w:pPr>
      <w:r>
        <w:rPr/>
        <w:drawing>
          <wp:anchor distT="0" distB="0" distL="0" distR="0" allowOverlap="1" layoutInCell="1" locked="0" behindDoc="0" simplePos="0" relativeHeight="15729152">
            <wp:simplePos x="0" y="0"/>
            <wp:positionH relativeFrom="page">
              <wp:posOffset>514388</wp:posOffset>
            </wp:positionH>
            <wp:positionV relativeFrom="paragraph">
              <wp:posOffset>6603</wp:posOffset>
            </wp:positionV>
            <wp:extent cx="1146271" cy="717154"/>
            <wp:effectExtent l="0" t="0" r="0" b="0"/>
            <wp:wrapNone/>
            <wp:docPr id="3" name="Image 3"/>
            <wp:cNvGraphicFramePr>
              <a:graphicFrameLocks/>
            </wp:cNvGraphicFramePr>
            <a:graphic>
              <a:graphicData uri="http://schemas.openxmlformats.org/drawingml/2006/picture">
                <pic:pic>
                  <pic:nvPicPr>
                    <pic:cNvPr id="3" name="Image 3"/>
                    <pic:cNvPicPr/>
                  </pic:nvPicPr>
                  <pic:blipFill>
                    <a:blip r:embed="rId7" cstate="print"/>
                    <a:stretch>
                      <a:fillRect/>
                    </a:stretch>
                  </pic:blipFill>
                  <pic:spPr>
                    <a:xfrm>
                      <a:off x="0" y="0"/>
                      <a:ext cx="1146271" cy="717154"/>
                    </a:xfrm>
                    <a:prstGeom prst="rect">
                      <a:avLst/>
                    </a:prstGeom>
                  </pic:spPr>
                </pic:pic>
              </a:graphicData>
            </a:graphic>
          </wp:anchor>
        </w:drawing>
      </w:r>
      <w:r>
        <w:rPr/>
        <w:drawing>
          <wp:anchor distT="0" distB="0" distL="0" distR="0" allowOverlap="1" layoutInCell="1" locked="0" behindDoc="0" simplePos="0" relativeHeight="15729664">
            <wp:simplePos x="0" y="0"/>
            <wp:positionH relativeFrom="page">
              <wp:posOffset>5833871</wp:posOffset>
            </wp:positionH>
            <wp:positionV relativeFrom="paragraph">
              <wp:posOffset>104139</wp:posOffset>
            </wp:positionV>
            <wp:extent cx="1495044" cy="425195"/>
            <wp:effectExtent l="0" t="0" r="0" b="0"/>
            <wp:wrapNone/>
            <wp:docPr id="4" name="Image 4"/>
            <wp:cNvGraphicFramePr>
              <a:graphicFrameLocks/>
            </wp:cNvGraphicFramePr>
            <a:graphic>
              <a:graphicData uri="http://schemas.openxmlformats.org/drawingml/2006/picture">
                <pic:pic>
                  <pic:nvPicPr>
                    <pic:cNvPr id="4" name="Image 4"/>
                    <pic:cNvPicPr/>
                  </pic:nvPicPr>
                  <pic:blipFill>
                    <a:blip r:embed="rId8" cstate="print"/>
                    <a:stretch>
                      <a:fillRect/>
                    </a:stretch>
                  </pic:blipFill>
                  <pic:spPr>
                    <a:xfrm>
                      <a:off x="0" y="0"/>
                      <a:ext cx="1495044" cy="425195"/>
                    </a:xfrm>
                    <a:prstGeom prst="rect">
                      <a:avLst/>
                    </a:prstGeom>
                  </pic:spPr>
                </pic:pic>
              </a:graphicData>
            </a:graphic>
          </wp:anchor>
        </w:drawing>
      </w:r>
      <w:r>
        <w:rPr/>
        <w:t>Revue</w:t>
      </w:r>
      <w:r>
        <w:rPr>
          <w:spacing w:val="-10"/>
        </w:rPr>
        <w:t> </w:t>
      </w:r>
      <w:r>
        <w:rPr/>
        <w:t>Algérienne</w:t>
      </w:r>
      <w:r>
        <w:rPr>
          <w:spacing w:val="-3"/>
        </w:rPr>
        <w:t> </w:t>
      </w:r>
      <w:r>
        <w:rPr/>
        <w:t>Des</w:t>
      </w:r>
      <w:r>
        <w:rPr>
          <w:spacing w:val="-10"/>
        </w:rPr>
        <w:t> </w:t>
      </w:r>
      <w:r>
        <w:rPr/>
        <w:t>Sciences</w:t>
      </w:r>
      <w:r>
        <w:rPr>
          <w:spacing w:val="-10"/>
        </w:rPr>
        <w:t> </w:t>
      </w:r>
      <w:r>
        <w:rPr/>
        <w:t>Du</w:t>
      </w:r>
      <w:r>
        <w:rPr>
          <w:spacing w:val="-8"/>
        </w:rPr>
        <w:t> </w:t>
      </w:r>
      <w:r>
        <w:rPr>
          <w:spacing w:val="-2"/>
        </w:rPr>
        <w:t>Langage</w:t>
      </w:r>
    </w:p>
    <w:p>
      <w:pPr>
        <w:spacing w:before="191"/>
        <w:ind w:left="755" w:right="1185" w:firstLine="0"/>
        <w:jc w:val="center"/>
        <w:rPr>
          <w:b/>
          <w:sz w:val="20"/>
        </w:rPr>
      </w:pPr>
      <w:r>
        <w:rPr>
          <w:b/>
          <w:sz w:val="20"/>
        </w:rPr>
        <w:t>Volume:</w:t>
      </w:r>
      <w:r>
        <w:rPr>
          <w:b/>
          <w:spacing w:val="-3"/>
          <w:sz w:val="20"/>
        </w:rPr>
        <w:t> </w:t>
      </w:r>
      <w:r>
        <w:rPr>
          <w:b/>
          <w:sz w:val="20"/>
        </w:rPr>
        <w:t>1</w:t>
      </w:r>
      <w:r>
        <w:rPr>
          <w:b/>
          <w:spacing w:val="-2"/>
          <w:sz w:val="20"/>
        </w:rPr>
        <w:t> </w:t>
      </w:r>
      <w:r>
        <w:rPr>
          <w:b/>
          <w:sz w:val="20"/>
        </w:rPr>
        <w:t>/</w:t>
      </w:r>
      <w:r>
        <w:rPr>
          <w:b/>
          <w:spacing w:val="44"/>
          <w:sz w:val="20"/>
        </w:rPr>
        <w:t> </w:t>
      </w:r>
      <w:r>
        <w:rPr>
          <w:b/>
          <w:sz w:val="20"/>
        </w:rPr>
        <w:t>N°</w:t>
      </w:r>
      <w:r>
        <w:rPr>
          <w:b/>
          <w:spacing w:val="-4"/>
          <w:sz w:val="20"/>
        </w:rPr>
        <w:t> </w:t>
      </w:r>
      <w:r>
        <w:rPr>
          <w:b/>
          <w:sz w:val="20"/>
        </w:rPr>
        <w:t>spécial</w:t>
      </w:r>
      <w:r>
        <w:rPr>
          <w:b/>
          <w:spacing w:val="-2"/>
          <w:sz w:val="20"/>
        </w:rPr>
        <w:t> </w:t>
      </w:r>
      <w:r>
        <w:rPr>
          <w:b/>
          <w:sz w:val="20"/>
        </w:rPr>
        <w:t>(2016),</w:t>
      </w:r>
      <w:r>
        <w:rPr>
          <w:b/>
          <w:spacing w:val="-2"/>
          <w:sz w:val="20"/>
        </w:rPr>
        <w:t> </w:t>
      </w:r>
      <w:r>
        <w:rPr>
          <w:b/>
          <w:sz w:val="20"/>
        </w:rPr>
        <w:t>pp</w:t>
      </w:r>
      <w:r>
        <w:rPr>
          <w:b/>
          <w:spacing w:val="-2"/>
          <w:sz w:val="20"/>
        </w:rPr>
        <w:t> </w:t>
      </w:r>
      <w:r>
        <w:rPr>
          <w:b/>
          <w:sz w:val="20"/>
        </w:rPr>
        <w:t>53-</w:t>
      </w:r>
      <w:r>
        <w:rPr>
          <w:b/>
          <w:spacing w:val="-4"/>
          <w:sz w:val="20"/>
        </w:rPr>
        <w:t> </w:t>
      </w:r>
      <w:r>
        <w:rPr>
          <w:b/>
          <w:spacing w:val="-5"/>
          <w:sz w:val="20"/>
        </w:rPr>
        <w:t>61</w:t>
      </w:r>
    </w:p>
    <w:p>
      <w:pPr>
        <w:pStyle w:val="BodyText"/>
        <w:ind w:left="0"/>
        <w:rPr>
          <w:b/>
          <w:sz w:val="20"/>
        </w:rPr>
      </w:pPr>
    </w:p>
    <w:p>
      <w:pPr>
        <w:pStyle w:val="BodyText"/>
        <w:ind w:left="0"/>
        <w:rPr>
          <w:b/>
          <w:sz w:val="20"/>
        </w:rPr>
      </w:pPr>
    </w:p>
    <w:p>
      <w:pPr>
        <w:pStyle w:val="BodyText"/>
        <w:spacing w:before="35"/>
        <w:ind w:left="0"/>
        <w:rPr>
          <w:b/>
          <w:sz w:val="20"/>
        </w:rPr>
      </w:pPr>
    </w:p>
    <w:p>
      <w:pPr>
        <w:tabs>
          <w:tab w:pos="7963" w:val="left" w:leader="none"/>
        </w:tabs>
        <w:spacing w:before="0"/>
        <w:ind w:left="718" w:right="0" w:firstLine="0"/>
        <w:jc w:val="left"/>
        <w:rPr>
          <w:sz w:val="20"/>
        </w:rPr>
      </w:pPr>
      <w:r>
        <w:rPr>
          <w:sz w:val="20"/>
        </w:rPr>
        <w:t>Reçu</w:t>
      </w:r>
      <w:r>
        <w:rPr>
          <w:spacing w:val="-6"/>
          <w:sz w:val="20"/>
        </w:rPr>
        <w:t> </w:t>
      </w:r>
      <w:r>
        <w:rPr>
          <w:sz w:val="20"/>
        </w:rPr>
        <w:t>le</w:t>
      </w:r>
      <w:r>
        <w:rPr>
          <w:spacing w:val="-3"/>
          <w:sz w:val="20"/>
        </w:rPr>
        <w:t> </w:t>
      </w:r>
      <w:r>
        <w:rPr>
          <w:sz w:val="20"/>
        </w:rPr>
        <w:t>:</w:t>
      </w:r>
      <w:r>
        <w:rPr>
          <w:spacing w:val="-4"/>
          <w:sz w:val="20"/>
        </w:rPr>
        <w:t> </w:t>
      </w:r>
      <w:r>
        <w:rPr>
          <w:sz w:val="20"/>
        </w:rPr>
        <w:t>03-02-</w:t>
      </w:r>
      <w:r>
        <w:rPr>
          <w:spacing w:val="-4"/>
          <w:sz w:val="20"/>
        </w:rPr>
        <w:t>2016</w:t>
      </w:r>
      <w:r>
        <w:rPr>
          <w:sz w:val="20"/>
        </w:rPr>
        <w:tab/>
        <w:t>Publié</w:t>
      </w:r>
      <w:r>
        <w:rPr>
          <w:spacing w:val="-3"/>
          <w:sz w:val="20"/>
        </w:rPr>
        <w:t> </w:t>
      </w:r>
      <w:r>
        <w:rPr>
          <w:sz w:val="20"/>
        </w:rPr>
        <w:t>le</w:t>
      </w:r>
      <w:r>
        <w:rPr>
          <w:spacing w:val="-3"/>
          <w:sz w:val="20"/>
        </w:rPr>
        <w:t> </w:t>
      </w:r>
      <w:r>
        <w:rPr>
          <w:sz w:val="20"/>
        </w:rPr>
        <w:t>:</w:t>
      </w:r>
      <w:r>
        <w:rPr>
          <w:spacing w:val="-5"/>
          <w:sz w:val="20"/>
        </w:rPr>
        <w:t> </w:t>
      </w:r>
      <w:r>
        <w:rPr>
          <w:sz w:val="20"/>
        </w:rPr>
        <w:t>22-11-</w:t>
      </w:r>
      <w:r>
        <w:rPr>
          <w:spacing w:val="-4"/>
          <w:sz w:val="20"/>
        </w:rPr>
        <w:t>2016</w:t>
      </w:r>
    </w:p>
    <w:p>
      <w:pPr>
        <w:pStyle w:val="BodyText"/>
        <w:spacing w:before="232"/>
        <w:ind w:left="0"/>
        <w:rPr>
          <w:sz w:val="28"/>
        </w:rPr>
      </w:pPr>
    </w:p>
    <w:p>
      <w:pPr>
        <w:spacing w:line="278" w:lineRule="auto" w:before="0"/>
        <w:ind w:left="751" w:right="1185" w:firstLine="0"/>
        <w:jc w:val="center"/>
        <w:rPr>
          <w:b/>
          <w:sz w:val="28"/>
        </w:rPr>
      </w:pPr>
      <w:r>
        <w:rPr>
          <w:b/>
          <w:sz w:val="28"/>
        </w:rPr>
        <w:t>Etudes</w:t>
      </w:r>
      <w:r>
        <w:rPr>
          <w:b/>
          <w:spacing w:val="-5"/>
          <w:sz w:val="28"/>
        </w:rPr>
        <w:t> </w:t>
      </w:r>
      <w:r>
        <w:rPr>
          <w:b/>
          <w:sz w:val="28"/>
        </w:rPr>
        <w:t>pragmatico-énonciatives</w:t>
      </w:r>
      <w:r>
        <w:rPr>
          <w:b/>
          <w:spacing w:val="-5"/>
          <w:sz w:val="28"/>
        </w:rPr>
        <w:t> </w:t>
      </w:r>
      <w:r>
        <w:rPr>
          <w:b/>
          <w:sz w:val="28"/>
        </w:rPr>
        <w:t>d’une</w:t>
      </w:r>
      <w:r>
        <w:rPr>
          <w:b/>
          <w:spacing w:val="-6"/>
          <w:sz w:val="28"/>
        </w:rPr>
        <w:t> </w:t>
      </w:r>
      <w:r>
        <w:rPr>
          <w:b/>
          <w:sz w:val="28"/>
        </w:rPr>
        <w:t>alliance</w:t>
      </w:r>
      <w:r>
        <w:rPr>
          <w:b/>
          <w:spacing w:val="-8"/>
          <w:sz w:val="28"/>
        </w:rPr>
        <w:t> </w:t>
      </w:r>
      <w:r>
        <w:rPr>
          <w:b/>
          <w:sz w:val="28"/>
        </w:rPr>
        <w:t>interethnique,</w:t>
      </w:r>
      <w:r>
        <w:rPr>
          <w:b/>
          <w:spacing w:val="-8"/>
          <w:sz w:val="28"/>
        </w:rPr>
        <w:t> </w:t>
      </w:r>
      <w:r>
        <w:rPr>
          <w:b/>
          <w:sz w:val="28"/>
        </w:rPr>
        <w:t>les Anakounya : enjeuxsociétaux dans l’ouest africain</w:t>
      </w:r>
    </w:p>
    <w:p>
      <w:pPr>
        <w:spacing w:line="276" w:lineRule="auto" w:before="206"/>
        <w:ind w:left="751" w:right="1186" w:firstLine="0"/>
        <w:jc w:val="center"/>
        <w:rPr>
          <w:b/>
          <w:sz w:val="28"/>
        </w:rPr>
      </w:pPr>
      <w:r>
        <w:rPr>
          <w:b/>
          <w:sz w:val="28"/>
        </w:rPr>
        <w:t>Pragmatic-Enunciative Studies</w:t>
      </w:r>
      <w:r>
        <w:rPr>
          <w:b/>
          <w:spacing w:val="-6"/>
          <w:sz w:val="28"/>
        </w:rPr>
        <w:t> </w:t>
      </w:r>
      <w:r>
        <w:rPr>
          <w:b/>
          <w:sz w:val="28"/>
        </w:rPr>
        <w:t>of</w:t>
      </w:r>
      <w:r>
        <w:rPr>
          <w:b/>
          <w:spacing w:val="-6"/>
          <w:sz w:val="28"/>
        </w:rPr>
        <w:t> </w:t>
      </w:r>
      <w:r>
        <w:rPr>
          <w:b/>
          <w:sz w:val="28"/>
        </w:rPr>
        <w:t>an</w:t>
      </w:r>
      <w:r>
        <w:rPr>
          <w:b/>
          <w:spacing w:val="-8"/>
          <w:sz w:val="28"/>
        </w:rPr>
        <w:t> </w:t>
      </w:r>
      <w:r>
        <w:rPr>
          <w:b/>
          <w:sz w:val="28"/>
        </w:rPr>
        <w:t>Interethnic</w:t>
      </w:r>
      <w:r>
        <w:rPr>
          <w:b/>
          <w:spacing w:val="-4"/>
          <w:sz w:val="28"/>
        </w:rPr>
        <w:t> </w:t>
      </w:r>
      <w:r>
        <w:rPr>
          <w:b/>
          <w:sz w:val="28"/>
        </w:rPr>
        <w:t>Alliance,</w:t>
      </w:r>
      <w:r>
        <w:rPr>
          <w:b/>
          <w:spacing w:val="-6"/>
          <w:sz w:val="28"/>
        </w:rPr>
        <w:t> </w:t>
      </w:r>
      <w:r>
        <w:rPr>
          <w:b/>
          <w:sz w:val="28"/>
        </w:rPr>
        <w:t>the</w:t>
      </w:r>
      <w:r>
        <w:rPr>
          <w:b/>
          <w:spacing w:val="-2"/>
          <w:sz w:val="28"/>
        </w:rPr>
        <w:t> </w:t>
      </w:r>
      <w:r>
        <w:rPr>
          <w:b/>
          <w:sz w:val="28"/>
        </w:rPr>
        <w:t>Anakounya: Societal Issues in West Africa</w:t>
      </w:r>
    </w:p>
    <w:p>
      <w:pPr>
        <w:pStyle w:val="Heading1"/>
        <w:spacing w:line="274" w:lineRule="exact" w:before="264"/>
        <w:ind w:left="751" w:right="1185"/>
        <w:jc w:val="center"/>
      </w:pPr>
      <w:r>
        <w:rPr/>
        <w:t>Amidou</w:t>
      </w:r>
      <w:r>
        <w:rPr>
          <w:spacing w:val="-1"/>
        </w:rPr>
        <w:t> </w:t>
      </w:r>
      <w:r>
        <w:rPr>
          <w:spacing w:val="-2"/>
        </w:rPr>
        <w:t>SANOGO*</w:t>
      </w:r>
      <w:r>
        <w:rPr>
          <w:spacing w:val="-2"/>
          <w:vertAlign w:val="superscript"/>
        </w:rPr>
        <w:t>1</w:t>
      </w:r>
    </w:p>
    <w:p>
      <w:pPr>
        <w:spacing w:line="228" w:lineRule="exact" w:before="0"/>
        <w:ind w:left="752" w:right="1185" w:firstLine="0"/>
        <w:jc w:val="center"/>
        <w:rPr>
          <w:sz w:val="20"/>
        </w:rPr>
      </w:pPr>
      <w:r>
        <w:rPr>
          <w:sz w:val="20"/>
          <w:vertAlign w:val="superscript"/>
        </w:rPr>
        <w:t>1</w:t>
      </w:r>
      <w:r>
        <w:rPr>
          <w:sz w:val="20"/>
          <w:vertAlign w:val="baseline"/>
        </w:rPr>
        <w:t>Université</w:t>
      </w:r>
      <w:r>
        <w:rPr>
          <w:spacing w:val="-3"/>
          <w:sz w:val="20"/>
          <w:vertAlign w:val="baseline"/>
        </w:rPr>
        <w:t> </w:t>
      </w:r>
      <w:r>
        <w:rPr>
          <w:sz w:val="20"/>
          <w:vertAlign w:val="baseline"/>
        </w:rPr>
        <w:t>Félix</w:t>
      </w:r>
      <w:r>
        <w:rPr>
          <w:spacing w:val="-7"/>
          <w:sz w:val="20"/>
          <w:vertAlign w:val="baseline"/>
        </w:rPr>
        <w:t> </w:t>
      </w:r>
      <w:r>
        <w:rPr>
          <w:sz w:val="20"/>
          <w:vertAlign w:val="baseline"/>
        </w:rPr>
        <w:t>Houphouët-Boigny</w:t>
      </w:r>
      <w:r>
        <w:rPr>
          <w:spacing w:val="-8"/>
          <w:sz w:val="20"/>
          <w:vertAlign w:val="baseline"/>
        </w:rPr>
        <w:t> </w:t>
      </w:r>
      <w:r>
        <w:rPr>
          <w:sz w:val="20"/>
          <w:vertAlign w:val="baseline"/>
        </w:rPr>
        <w:t>de</w:t>
      </w:r>
      <w:r>
        <w:rPr>
          <w:spacing w:val="-5"/>
          <w:sz w:val="20"/>
          <w:vertAlign w:val="baseline"/>
        </w:rPr>
        <w:t> </w:t>
      </w:r>
      <w:r>
        <w:rPr>
          <w:sz w:val="20"/>
          <w:vertAlign w:val="baseline"/>
        </w:rPr>
        <w:t>Cocody-</w:t>
      </w:r>
      <w:r>
        <w:rPr>
          <w:spacing w:val="-6"/>
          <w:sz w:val="20"/>
          <w:vertAlign w:val="baseline"/>
        </w:rPr>
        <w:t> </w:t>
      </w:r>
      <w:r>
        <w:rPr>
          <w:sz w:val="20"/>
          <w:vertAlign w:val="baseline"/>
        </w:rPr>
        <w:t>Cote</w:t>
      </w:r>
      <w:r>
        <w:rPr>
          <w:spacing w:val="-5"/>
          <w:sz w:val="20"/>
          <w:vertAlign w:val="baseline"/>
        </w:rPr>
        <w:t> </w:t>
      </w:r>
      <w:r>
        <w:rPr>
          <w:spacing w:val="-2"/>
          <w:sz w:val="20"/>
          <w:vertAlign w:val="baseline"/>
        </w:rPr>
        <w:t>d’Ivoire</w:t>
      </w:r>
    </w:p>
    <w:p>
      <w:pPr>
        <w:pStyle w:val="BodyText"/>
        <w:spacing w:before="45"/>
        <w:ind w:left="0"/>
      </w:pPr>
    </w:p>
    <w:p>
      <w:pPr>
        <w:pStyle w:val="Heading1"/>
        <w:spacing w:before="0"/>
        <w:jc w:val="left"/>
      </w:pPr>
      <w:r>
        <w:rPr>
          <w:spacing w:val="-2"/>
        </w:rPr>
        <w:t>Résumé</w:t>
      </w:r>
    </w:p>
    <w:p>
      <w:pPr>
        <w:pStyle w:val="BodyText"/>
        <w:spacing w:before="118"/>
      </w:pPr>
      <w:r>
        <w:rPr/>
        <w:t>Parenté</w:t>
      </w:r>
      <w:r>
        <w:rPr>
          <w:spacing w:val="68"/>
          <w:w w:val="150"/>
        </w:rPr>
        <w:t> </w:t>
      </w:r>
      <w:r>
        <w:rPr/>
        <w:t>à</w:t>
      </w:r>
      <w:r>
        <w:rPr>
          <w:spacing w:val="67"/>
          <w:w w:val="150"/>
        </w:rPr>
        <w:t> </w:t>
      </w:r>
      <w:r>
        <w:rPr/>
        <w:t>plaisanterie</w:t>
      </w:r>
      <w:r>
        <w:rPr>
          <w:spacing w:val="72"/>
          <w:w w:val="150"/>
        </w:rPr>
        <w:t> </w:t>
      </w:r>
      <w:r>
        <w:rPr/>
        <w:t>?</w:t>
      </w:r>
      <w:r>
        <w:rPr>
          <w:spacing w:val="71"/>
          <w:w w:val="150"/>
        </w:rPr>
        <w:t> </w:t>
      </w:r>
      <w:r>
        <w:rPr/>
        <w:t>Cousinage</w:t>
      </w:r>
      <w:r>
        <w:rPr>
          <w:spacing w:val="68"/>
          <w:w w:val="150"/>
        </w:rPr>
        <w:t> </w:t>
      </w:r>
      <w:r>
        <w:rPr/>
        <w:t>à</w:t>
      </w:r>
      <w:r>
        <w:rPr>
          <w:spacing w:val="67"/>
          <w:w w:val="150"/>
        </w:rPr>
        <w:t> </w:t>
      </w:r>
      <w:r>
        <w:rPr/>
        <w:t>plaisanterie</w:t>
      </w:r>
      <w:r>
        <w:rPr>
          <w:spacing w:val="71"/>
          <w:w w:val="150"/>
        </w:rPr>
        <w:t> </w:t>
      </w:r>
      <w:r>
        <w:rPr/>
        <w:t>?</w:t>
      </w:r>
      <w:r>
        <w:rPr>
          <w:spacing w:val="72"/>
          <w:w w:val="150"/>
        </w:rPr>
        <w:t> </w:t>
      </w:r>
      <w:r>
        <w:rPr/>
        <w:t>Fratrie</w:t>
      </w:r>
      <w:r>
        <w:rPr>
          <w:spacing w:val="69"/>
          <w:w w:val="150"/>
        </w:rPr>
        <w:t> </w:t>
      </w:r>
      <w:r>
        <w:rPr/>
        <w:t>à</w:t>
      </w:r>
      <w:r>
        <w:rPr>
          <w:spacing w:val="68"/>
          <w:w w:val="150"/>
        </w:rPr>
        <w:t> </w:t>
      </w:r>
      <w:r>
        <w:rPr/>
        <w:t>plaisanterie</w:t>
      </w:r>
      <w:r>
        <w:rPr>
          <w:spacing w:val="71"/>
          <w:w w:val="150"/>
        </w:rPr>
        <w:t> </w:t>
      </w:r>
      <w:r>
        <w:rPr/>
        <w:t>?</w:t>
      </w:r>
      <w:r>
        <w:rPr>
          <w:spacing w:val="73"/>
          <w:w w:val="150"/>
        </w:rPr>
        <w:t> </w:t>
      </w:r>
      <w:r>
        <w:rPr>
          <w:spacing w:val="-2"/>
        </w:rPr>
        <w:t>Alliance</w:t>
      </w:r>
    </w:p>
    <w:p>
      <w:pPr>
        <w:pStyle w:val="BodyText"/>
        <w:tabs>
          <w:tab w:pos="5007" w:val="left" w:leader="none"/>
          <w:tab w:pos="5502" w:val="left" w:leader="none"/>
          <w:tab w:pos="7563" w:val="left" w:leader="none"/>
          <w:tab w:pos="8534" w:val="left" w:leader="none"/>
        </w:tabs>
        <w:spacing w:before="40"/>
      </w:pPr>
      <w:r>
        <w:rPr/>
        <w:t>interethnique</w:t>
      </w:r>
      <w:r>
        <w:rPr>
          <w:spacing w:val="60"/>
        </w:rPr>
        <w:t> </w:t>
      </w:r>
      <w:r>
        <w:rPr/>
        <w:t>?</w:t>
      </w:r>
      <w:r>
        <w:rPr>
          <w:spacing w:val="66"/>
        </w:rPr>
        <w:t> </w:t>
      </w:r>
      <w:r>
        <w:rPr/>
        <w:t>Alliance</w:t>
      </w:r>
      <w:r>
        <w:rPr>
          <w:spacing w:val="59"/>
        </w:rPr>
        <w:t> </w:t>
      </w:r>
      <w:r>
        <w:rPr/>
        <w:t>interclanique</w:t>
      </w:r>
      <w:r>
        <w:rPr>
          <w:spacing w:val="64"/>
        </w:rPr>
        <w:t> </w:t>
      </w:r>
      <w:r>
        <w:rPr>
          <w:spacing w:val="-10"/>
        </w:rPr>
        <w:t>?</w:t>
      </w:r>
      <w:r>
        <w:rPr/>
        <w:tab/>
      </w:r>
      <w:r>
        <w:rPr>
          <w:spacing w:val="-5"/>
        </w:rPr>
        <w:t>Le</w:t>
      </w:r>
      <w:r>
        <w:rPr/>
        <w:tab/>
        <w:t>sanankounya</w:t>
      </w:r>
      <w:r>
        <w:rPr>
          <w:spacing w:val="59"/>
        </w:rPr>
        <w:t> </w:t>
      </w:r>
      <w:r>
        <w:rPr>
          <w:spacing w:val="-4"/>
        </w:rPr>
        <w:t>pose</w:t>
      </w:r>
      <w:r>
        <w:rPr/>
        <w:tab/>
        <w:t>un</w:t>
      </w:r>
      <w:r>
        <w:rPr>
          <w:spacing w:val="64"/>
        </w:rPr>
        <w:t> </w:t>
      </w:r>
      <w:r>
        <w:rPr>
          <w:spacing w:val="-4"/>
        </w:rPr>
        <w:t>réel</w:t>
      </w:r>
      <w:r>
        <w:rPr/>
        <w:tab/>
        <w:t>problème</w:t>
      </w:r>
      <w:r>
        <w:rPr>
          <w:spacing w:val="61"/>
        </w:rPr>
        <w:t> </w:t>
      </w:r>
      <w:r>
        <w:rPr>
          <w:spacing w:val="-5"/>
        </w:rPr>
        <w:t>de</w:t>
      </w:r>
    </w:p>
    <w:p>
      <w:pPr>
        <w:pStyle w:val="BodyText"/>
        <w:tabs>
          <w:tab w:pos="2850" w:val="left" w:leader="none"/>
        </w:tabs>
        <w:spacing w:before="41"/>
      </w:pPr>
      <w:r>
        <w:rPr/>
        <w:t>définition</w:t>
      </w:r>
      <w:r>
        <w:rPr>
          <w:spacing w:val="52"/>
        </w:rPr>
        <w:t> </w:t>
      </w:r>
      <w:r>
        <w:rPr/>
        <w:t>même</w:t>
      </w:r>
      <w:r>
        <w:rPr>
          <w:spacing w:val="50"/>
        </w:rPr>
        <w:t> </w:t>
      </w:r>
      <w:r>
        <w:rPr>
          <w:spacing w:val="-5"/>
        </w:rPr>
        <w:t>si</w:t>
      </w:r>
      <w:r>
        <w:rPr/>
        <w:tab/>
        <w:t>ces</w:t>
      </w:r>
      <w:r>
        <w:rPr>
          <w:spacing w:val="52"/>
        </w:rPr>
        <w:t> </w:t>
      </w:r>
      <w:r>
        <w:rPr/>
        <w:t>différentes</w:t>
      </w:r>
      <w:r>
        <w:rPr>
          <w:spacing w:val="52"/>
        </w:rPr>
        <w:t> </w:t>
      </w:r>
      <w:r>
        <w:rPr/>
        <w:t>terminologies</w:t>
      </w:r>
      <w:r>
        <w:rPr>
          <w:spacing w:val="53"/>
        </w:rPr>
        <w:t> </w:t>
      </w:r>
      <w:r>
        <w:rPr/>
        <w:t>s’accordent</w:t>
      </w:r>
      <w:r>
        <w:rPr>
          <w:spacing w:val="52"/>
        </w:rPr>
        <w:t> </w:t>
      </w:r>
      <w:r>
        <w:rPr/>
        <w:t>autour</w:t>
      </w:r>
      <w:r>
        <w:rPr>
          <w:spacing w:val="52"/>
        </w:rPr>
        <w:t> </w:t>
      </w:r>
      <w:r>
        <w:rPr/>
        <w:t>de</w:t>
      </w:r>
      <w:r>
        <w:rPr>
          <w:spacing w:val="51"/>
        </w:rPr>
        <w:t> </w:t>
      </w:r>
      <w:r>
        <w:rPr/>
        <w:t>la</w:t>
      </w:r>
      <w:r>
        <w:rPr>
          <w:spacing w:val="52"/>
        </w:rPr>
        <w:t> </w:t>
      </w:r>
      <w:r>
        <w:rPr/>
        <w:t>raillerie</w:t>
      </w:r>
      <w:r>
        <w:rPr>
          <w:spacing w:val="52"/>
        </w:rPr>
        <w:t> </w:t>
      </w:r>
      <w:r>
        <w:rPr/>
        <w:t>et</w:t>
      </w:r>
      <w:r>
        <w:rPr>
          <w:spacing w:val="53"/>
        </w:rPr>
        <w:t> </w:t>
      </w:r>
      <w:r>
        <w:rPr>
          <w:spacing w:val="-5"/>
        </w:rPr>
        <w:t>de</w:t>
      </w:r>
    </w:p>
    <w:p>
      <w:pPr>
        <w:pStyle w:val="BodyText"/>
        <w:spacing w:before="43"/>
      </w:pPr>
      <w:r>
        <w:rPr/>
        <w:t>l’amusement.</w:t>
      </w:r>
      <w:r>
        <w:rPr>
          <w:spacing w:val="59"/>
          <w:w w:val="150"/>
        </w:rPr>
        <w:t> </w:t>
      </w:r>
      <w:r>
        <w:rPr/>
        <w:t>L’objectif</w:t>
      </w:r>
      <w:r>
        <w:rPr>
          <w:spacing w:val="60"/>
          <w:w w:val="150"/>
        </w:rPr>
        <w:t> </w:t>
      </w:r>
      <w:r>
        <w:rPr/>
        <w:t>de</w:t>
      </w:r>
      <w:r>
        <w:rPr>
          <w:spacing w:val="57"/>
          <w:w w:val="150"/>
        </w:rPr>
        <w:t> </w:t>
      </w:r>
      <w:r>
        <w:rPr/>
        <w:t>cet</w:t>
      </w:r>
      <w:r>
        <w:rPr>
          <w:spacing w:val="55"/>
          <w:w w:val="150"/>
        </w:rPr>
        <w:t> </w:t>
      </w:r>
      <w:r>
        <w:rPr/>
        <w:t>article</w:t>
      </w:r>
      <w:r>
        <w:rPr>
          <w:spacing w:val="54"/>
          <w:w w:val="150"/>
        </w:rPr>
        <w:t> </w:t>
      </w:r>
      <w:r>
        <w:rPr/>
        <w:t>est</w:t>
      </w:r>
      <w:r>
        <w:rPr>
          <w:spacing w:val="57"/>
          <w:w w:val="150"/>
        </w:rPr>
        <w:t> </w:t>
      </w:r>
      <w:r>
        <w:rPr/>
        <w:t>de</w:t>
      </w:r>
      <w:r>
        <w:rPr>
          <w:spacing w:val="56"/>
          <w:w w:val="150"/>
        </w:rPr>
        <w:t> </w:t>
      </w:r>
      <w:r>
        <w:rPr/>
        <w:t>revisiter</w:t>
      </w:r>
      <w:r>
        <w:rPr>
          <w:spacing w:val="53"/>
          <w:w w:val="150"/>
        </w:rPr>
        <w:t> </w:t>
      </w:r>
      <w:r>
        <w:rPr/>
        <w:t>le</w:t>
      </w:r>
      <w:r>
        <w:rPr>
          <w:spacing w:val="59"/>
          <w:w w:val="150"/>
        </w:rPr>
        <w:t> </w:t>
      </w:r>
      <w:r>
        <w:rPr/>
        <w:t>concept</w:t>
      </w:r>
      <w:r>
        <w:rPr>
          <w:spacing w:val="59"/>
          <w:w w:val="150"/>
        </w:rPr>
        <w:t> </w:t>
      </w:r>
      <w:r>
        <w:rPr/>
        <w:t>sociolinguistique</w:t>
      </w:r>
      <w:r>
        <w:rPr>
          <w:spacing w:val="57"/>
          <w:w w:val="150"/>
        </w:rPr>
        <w:t> </w:t>
      </w:r>
      <w:r>
        <w:rPr>
          <w:spacing w:val="-5"/>
        </w:rPr>
        <w:t>du</w:t>
      </w:r>
    </w:p>
    <w:p>
      <w:pPr>
        <w:pStyle w:val="BodyText"/>
        <w:spacing w:before="41"/>
      </w:pPr>
      <w:r>
        <w:rPr/>
        <w:t>sanankounya</w:t>
      </w:r>
      <w:r>
        <w:rPr>
          <w:spacing w:val="1"/>
        </w:rPr>
        <w:t> </w:t>
      </w:r>
      <w:r>
        <w:rPr/>
        <w:t>à</w:t>
      </w:r>
      <w:r>
        <w:rPr>
          <w:spacing w:val="3"/>
        </w:rPr>
        <w:t> </w:t>
      </w:r>
      <w:r>
        <w:rPr/>
        <w:t>travers</w:t>
      </w:r>
      <w:r>
        <w:rPr>
          <w:spacing w:val="3"/>
        </w:rPr>
        <w:t> </w:t>
      </w:r>
      <w:r>
        <w:rPr/>
        <w:t>ces</w:t>
      </w:r>
      <w:r>
        <w:rPr>
          <w:spacing w:val="3"/>
        </w:rPr>
        <w:t> </w:t>
      </w:r>
      <w:r>
        <w:rPr/>
        <w:t>circonstances</w:t>
      </w:r>
      <w:r>
        <w:rPr>
          <w:spacing w:val="3"/>
        </w:rPr>
        <w:t> </w:t>
      </w:r>
      <w:r>
        <w:rPr/>
        <w:t>d’énonciation</w:t>
      </w:r>
      <w:r>
        <w:rPr>
          <w:spacing w:val="4"/>
        </w:rPr>
        <w:t> </w:t>
      </w:r>
      <w:r>
        <w:rPr/>
        <w:t>et</w:t>
      </w:r>
      <w:r>
        <w:rPr>
          <w:spacing w:val="67"/>
        </w:rPr>
        <w:t> </w:t>
      </w:r>
      <w:r>
        <w:rPr/>
        <w:t>ses</w:t>
      </w:r>
      <w:r>
        <w:rPr>
          <w:spacing w:val="67"/>
        </w:rPr>
        <w:t> </w:t>
      </w:r>
      <w:r>
        <w:rPr/>
        <w:t>manifestations</w:t>
      </w:r>
      <w:r>
        <w:rPr>
          <w:spacing w:val="4"/>
        </w:rPr>
        <w:t> </w:t>
      </w:r>
      <w:r>
        <w:rPr>
          <w:spacing w:val="-2"/>
        </w:rPr>
        <w:t>socioculturelles.</w:t>
      </w:r>
    </w:p>
    <w:p>
      <w:pPr>
        <w:pStyle w:val="BodyText"/>
        <w:spacing w:before="41"/>
      </w:pPr>
      <w:r>
        <w:rPr/>
        <w:t>De</w:t>
      </w:r>
      <w:r>
        <w:rPr>
          <w:spacing w:val="34"/>
        </w:rPr>
        <w:t>  </w:t>
      </w:r>
      <w:r>
        <w:rPr/>
        <w:t>plus,</w:t>
      </w:r>
      <w:r>
        <w:rPr>
          <w:spacing w:val="36"/>
        </w:rPr>
        <w:t>  </w:t>
      </w:r>
      <w:r>
        <w:rPr/>
        <w:t>le</w:t>
      </w:r>
      <w:r>
        <w:rPr>
          <w:spacing w:val="37"/>
        </w:rPr>
        <w:t>  </w:t>
      </w:r>
      <w:r>
        <w:rPr/>
        <w:t>sanankounya,</w:t>
      </w:r>
      <w:r>
        <w:rPr>
          <w:spacing w:val="38"/>
        </w:rPr>
        <w:t>  </w:t>
      </w:r>
      <w:r>
        <w:rPr/>
        <w:t>en</w:t>
      </w:r>
      <w:r>
        <w:rPr>
          <w:spacing w:val="36"/>
        </w:rPr>
        <w:t>  </w:t>
      </w:r>
      <w:r>
        <w:rPr/>
        <w:t>tant</w:t>
      </w:r>
      <w:r>
        <w:rPr>
          <w:spacing w:val="36"/>
        </w:rPr>
        <w:t>  </w:t>
      </w:r>
      <w:r>
        <w:rPr/>
        <w:t>que</w:t>
      </w:r>
      <w:r>
        <w:rPr>
          <w:spacing w:val="37"/>
        </w:rPr>
        <w:t> </w:t>
      </w:r>
      <w:r>
        <w:rPr/>
        <w:t>ressource</w:t>
      </w:r>
      <w:r>
        <w:rPr>
          <w:spacing w:val="35"/>
        </w:rPr>
        <w:t> </w:t>
      </w:r>
      <w:r>
        <w:rPr/>
        <w:t>communicative,</w:t>
      </w:r>
      <w:r>
        <w:rPr>
          <w:spacing w:val="33"/>
        </w:rPr>
        <w:t> </w:t>
      </w:r>
      <w:r>
        <w:rPr/>
        <w:t>revêt</w:t>
      </w:r>
      <w:r>
        <w:rPr>
          <w:spacing w:val="36"/>
        </w:rPr>
        <w:t> </w:t>
      </w:r>
      <w:r>
        <w:rPr/>
        <w:t>une</w:t>
      </w:r>
      <w:r>
        <w:rPr>
          <w:spacing w:val="36"/>
        </w:rPr>
        <w:t> </w:t>
      </w:r>
      <w:r>
        <w:rPr>
          <w:spacing w:val="-2"/>
        </w:rPr>
        <w:t>dimension</w:t>
      </w:r>
    </w:p>
    <w:p>
      <w:pPr>
        <w:pStyle w:val="BodyText"/>
        <w:spacing w:before="41"/>
      </w:pPr>
      <w:r>
        <w:rPr/>
        <w:t>pragmatique</w:t>
      </w:r>
      <w:r>
        <w:rPr>
          <w:spacing w:val="62"/>
          <w:w w:val="150"/>
        </w:rPr>
        <w:t> </w:t>
      </w:r>
      <w:r>
        <w:rPr/>
        <w:t>et</w:t>
      </w:r>
      <w:r>
        <w:rPr>
          <w:spacing w:val="61"/>
          <w:w w:val="150"/>
        </w:rPr>
        <w:t> </w:t>
      </w:r>
      <w:r>
        <w:rPr/>
        <w:t>interactionnelle</w:t>
      </w:r>
      <w:r>
        <w:rPr>
          <w:spacing w:val="63"/>
          <w:w w:val="150"/>
        </w:rPr>
        <w:t> </w:t>
      </w:r>
      <w:r>
        <w:rPr/>
        <w:t>due</w:t>
      </w:r>
      <w:r>
        <w:rPr>
          <w:spacing w:val="62"/>
          <w:w w:val="150"/>
        </w:rPr>
        <w:t> </w:t>
      </w:r>
      <w:r>
        <w:rPr/>
        <w:t>à</w:t>
      </w:r>
      <w:r>
        <w:rPr>
          <w:spacing w:val="61"/>
          <w:w w:val="150"/>
        </w:rPr>
        <w:t> </w:t>
      </w:r>
      <w:r>
        <w:rPr/>
        <w:t>des</w:t>
      </w:r>
      <w:r>
        <w:rPr>
          <w:spacing w:val="62"/>
          <w:w w:val="150"/>
        </w:rPr>
        <w:t> </w:t>
      </w:r>
      <w:r>
        <w:rPr/>
        <w:t>processus</w:t>
      </w:r>
      <w:r>
        <w:rPr>
          <w:spacing w:val="65"/>
          <w:w w:val="150"/>
        </w:rPr>
        <w:t> </w:t>
      </w:r>
      <w:r>
        <w:rPr/>
        <w:t>de</w:t>
      </w:r>
      <w:r>
        <w:rPr>
          <w:spacing w:val="61"/>
          <w:w w:val="150"/>
        </w:rPr>
        <w:t> </w:t>
      </w:r>
      <w:r>
        <w:rPr/>
        <w:t>contextualisation</w:t>
      </w:r>
      <w:r>
        <w:rPr>
          <w:spacing w:val="62"/>
          <w:w w:val="150"/>
        </w:rPr>
        <w:t> </w:t>
      </w:r>
      <w:r>
        <w:rPr/>
        <w:t>des</w:t>
      </w:r>
      <w:r>
        <w:rPr>
          <w:spacing w:val="61"/>
          <w:w w:val="150"/>
        </w:rPr>
        <w:t> </w:t>
      </w:r>
      <w:r>
        <w:rPr>
          <w:spacing w:val="-2"/>
        </w:rPr>
        <w:t>données</w:t>
      </w:r>
    </w:p>
    <w:p>
      <w:pPr>
        <w:spacing w:after="0"/>
        <w:sectPr>
          <w:footerReference w:type="default" r:id="rId5"/>
          <w:footerReference w:type="even" r:id="rId6"/>
          <w:type w:val="continuous"/>
          <w:pgSz w:w="11910" w:h="16840"/>
          <w:pgMar w:header="0" w:footer="1005" w:top="840" w:bottom="1200" w:left="700" w:right="260"/>
          <w:pgNumType w:start="3"/>
        </w:sectPr>
      </w:pPr>
    </w:p>
    <w:p>
      <w:pPr>
        <w:pStyle w:val="BodyText"/>
        <w:spacing w:before="43"/>
      </w:pPr>
      <w:r>
        <w:rPr/>
        <w:t>linguistiques.</w:t>
      </w:r>
      <w:r>
        <w:rPr>
          <w:spacing w:val="50"/>
          <w:w w:val="150"/>
        </w:rPr>
        <w:t> </w:t>
      </w:r>
      <w:r>
        <w:rPr/>
        <w:t>Sans</w:t>
      </w:r>
      <w:r>
        <w:rPr>
          <w:spacing w:val="50"/>
          <w:w w:val="150"/>
        </w:rPr>
        <w:t> </w:t>
      </w:r>
      <w:r>
        <w:rPr/>
        <w:t>juger</w:t>
      </w:r>
      <w:r>
        <w:rPr>
          <w:spacing w:val="50"/>
          <w:w w:val="150"/>
        </w:rPr>
        <w:t> </w:t>
      </w:r>
      <w:r>
        <w:rPr>
          <w:spacing w:val="-5"/>
        </w:rPr>
        <w:t>de</w:t>
      </w:r>
    </w:p>
    <w:p>
      <w:pPr>
        <w:pStyle w:val="BodyText"/>
        <w:spacing w:before="43"/>
        <w:ind w:left="101"/>
      </w:pPr>
      <w:r>
        <w:rPr/>
        <w:br w:type="column"/>
      </w:r>
      <w:r>
        <w:rPr/>
        <w:t>sa</w:t>
      </w:r>
      <w:r>
        <w:rPr>
          <w:spacing w:val="51"/>
          <w:w w:val="150"/>
        </w:rPr>
        <w:t> </w:t>
      </w:r>
      <w:r>
        <w:rPr/>
        <w:t>vériconditionnalité,</w:t>
      </w:r>
      <w:r>
        <w:rPr>
          <w:spacing w:val="51"/>
          <w:w w:val="150"/>
        </w:rPr>
        <w:t> </w:t>
      </w:r>
      <w:r>
        <w:rPr/>
        <w:t>comment</w:t>
      </w:r>
      <w:r>
        <w:rPr>
          <w:spacing w:val="52"/>
          <w:w w:val="150"/>
        </w:rPr>
        <w:t> </w:t>
      </w:r>
      <w:r>
        <w:rPr>
          <w:spacing w:val="-2"/>
        </w:rPr>
        <w:t>évaluer</w:t>
      </w:r>
    </w:p>
    <w:p>
      <w:pPr>
        <w:pStyle w:val="BodyText"/>
        <w:spacing w:before="43"/>
        <w:ind w:left="101"/>
      </w:pPr>
      <w:r>
        <w:rPr/>
        <w:br w:type="column"/>
      </w:r>
      <w:r>
        <w:rPr/>
        <w:t>la</w:t>
      </w:r>
      <w:r>
        <w:rPr>
          <w:spacing w:val="79"/>
        </w:rPr>
        <w:t> </w:t>
      </w:r>
      <w:r>
        <w:rPr/>
        <w:t>recevabilité</w:t>
      </w:r>
      <w:r>
        <w:rPr>
          <w:spacing w:val="79"/>
        </w:rPr>
        <w:t> </w:t>
      </w:r>
      <w:r>
        <w:rPr>
          <w:spacing w:val="-5"/>
        </w:rPr>
        <w:t>du</w:t>
      </w:r>
    </w:p>
    <w:p>
      <w:pPr>
        <w:spacing w:after="0"/>
        <w:sectPr>
          <w:type w:val="continuous"/>
          <w:pgSz w:w="11910" w:h="16840"/>
          <w:pgMar w:header="0" w:footer="1005" w:top="840" w:bottom="1200" w:left="700" w:right="260"/>
          <w:cols w:num="3" w:equalWidth="0">
            <w:col w:w="3603" w:space="40"/>
            <w:col w:w="4199" w:space="39"/>
            <w:col w:w="3069"/>
          </w:cols>
        </w:sectPr>
      </w:pPr>
    </w:p>
    <w:p>
      <w:pPr>
        <w:pStyle w:val="BodyText"/>
        <w:spacing w:line="276" w:lineRule="auto" w:before="41"/>
        <w:ind w:right="1147"/>
        <w:jc w:val="both"/>
      </w:pPr>
      <w:r>
        <w:rPr/>
        <w:t>sanankounya chez l’interlocuteur au point d’en faire un facteur de prévention et/ou de résolution de conflit ?</w:t>
      </w:r>
      <w:r>
        <w:rPr>
          <w:spacing w:val="40"/>
        </w:rPr>
        <w:t> </w:t>
      </w:r>
      <w:r>
        <w:rPr/>
        <w:t>L’analyse part de l’hypothèse que la correspondance entre l’intention véhiculée par l’énoncé d’un locuteur et l’interprétation qu’en fait l’interlocuteur joue un rôle de régulation dans la communication. À partir des indices de contextualisation,</w:t>
      </w:r>
      <w:r>
        <w:rPr>
          <w:spacing w:val="40"/>
        </w:rPr>
        <w:t> </w:t>
      </w:r>
      <w:r>
        <w:rPr/>
        <w:t>qui</w:t>
      </w:r>
      <w:r>
        <w:rPr>
          <w:spacing w:val="40"/>
        </w:rPr>
        <w:t> </w:t>
      </w:r>
      <w:r>
        <w:rPr/>
        <w:t>sont</w:t>
      </w:r>
      <w:r>
        <w:rPr>
          <w:spacing w:val="40"/>
        </w:rPr>
        <w:t> </w:t>
      </w:r>
      <w:r>
        <w:rPr/>
        <w:t>des mots et expressions attribuées aux us et coutumes de l’interlocuteur sanankoun, l’étude examine la portée pragmatique des énoncés proférés dans le cadre de cette forme d’alliance.</w:t>
      </w:r>
    </w:p>
    <w:p>
      <w:pPr>
        <w:spacing w:after="0" w:line="276" w:lineRule="auto"/>
        <w:jc w:val="both"/>
        <w:sectPr>
          <w:type w:val="continuous"/>
          <w:pgSz w:w="11910" w:h="16840"/>
          <w:pgMar w:header="0" w:footer="1005" w:top="840" w:bottom="1200" w:left="700" w:right="260"/>
        </w:sectPr>
      </w:pPr>
    </w:p>
    <w:p>
      <w:pPr>
        <w:pStyle w:val="BodyText"/>
        <w:tabs>
          <w:tab w:pos="2131" w:val="left" w:leader="none"/>
          <w:tab w:pos="4311" w:val="left" w:leader="none"/>
          <w:tab w:pos="5424" w:val="left" w:leader="none"/>
          <w:tab w:pos="7042" w:val="left" w:leader="none"/>
        </w:tabs>
        <w:spacing w:line="273" w:lineRule="auto" w:before="160"/>
      </w:pPr>
      <w:r>
        <w:rPr>
          <w:b/>
        </w:rPr>
        <w:t>Mots-clés :</w:t>
        <w:tab/>
      </w:r>
      <w:r>
        <w:rPr>
          <w:spacing w:val="-2"/>
        </w:rPr>
        <w:t>vériconditionnalité,</w:t>
      </w:r>
      <w:r>
        <w:rPr/>
        <w:tab/>
      </w:r>
      <w:r>
        <w:rPr>
          <w:spacing w:val="-2"/>
        </w:rPr>
        <w:t>Alliance</w:t>
      </w:r>
      <w:r>
        <w:rPr/>
        <w:tab/>
      </w:r>
      <w:r>
        <w:rPr>
          <w:spacing w:val="-2"/>
        </w:rPr>
        <w:t>interclanique,</w:t>
      </w:r>
      <w:r>
        <w:rPr/>
        <w:tab/>
      </w:r>
      <w:r>
        <w:rPr>
          <w:spacing w:val="-2"/>
        </w:rPr>
        <w:t>concept </w:t>
      </w:r>
      <w:r>
        <w:rPr/>
        <w:t>manifestations socioculturelles, interaction</w:t>
      </w:r>
    </w:p>
    <w:p>
      <w:pPr>
        <w:pStyle w:val="Heading1"/>
        <w:spacing w:before="167"/>
        <w:jc w:val="left"/>
      </w:pPr>
      <w:r>
        <w:rPr>
          <w:spacing w:val="-2"/>
        </w:rPr>
        <w:t>Abstract</w:t>
      </w:r>
    </w:p>
    <w:p>
      <w:pPr>
        <w:pStyle w:val="BodyText"/>
        <w:spacing w:before="160"/>
        <w:ind w:left="262"/>
      </w:pPr>
      <w:r>
        <w:rPr/>
        <w:br w:type="column"/>
      </w:r>
      <w:r>
        <w:rPr>
          <w:spacing w:val="-2"/>
        </w:rPr>
        <w:t>sociolinguistique,</w:t>
      </w:r>
    </w:p>
    <w:p>
      <w:pPr>
        <w:spacing w:after="0"/>
        <w:sectPr>
          <w:type w:val="continuous"/>
          <w:pgSz w:w="11910" w:h="16840"/>
          <w:pgMar w:header="0" w:footer="1005" w:top="840" w:bottom="1200" w:left="700" w:right="260"/>
          <w:cols w:num="2" w:equalWidth="0">
            <w:col w:w="7789" w:space="40"/>
            <w:col w:w="3121"/>
          </w:cols>
        </w:sectPr>
      </w:pPr>
    </w:p>
    <w:p>
      <w:pPr>
        <w:pStyle w:val="BodyText"/>
        <w:spacing w:line="276" w:lineRule="auto" w:before="118"/>
        <w:ind w:right="1151"/>
        <w:jc w:val="both"/>
      </w:pPr>
      <w:r>
        <w:rPr/>
        <w:t>Relationship</w:t>
      </w:r>
      <w:r>
        <w:rPr>
          <w:spacing w:val="-1"/>
        </w:rPr>
        <w:t> </w:t>
      </w:r>
      <w:r>
        <w:rPr/>
        <w:t>with a</w:t>
      </w:r>
      <w:r>
        <w:rPr>
          <w:spacing w:val="-5"/>
        </w:rPr>
        <w:t> </w:t>
      </w:r>
      <w:r>
        <w:rPr/>
        <w:t>joke? Cousin</w:t>
      </w:r>
      <w:r>
        <w:rPr>
          <w:spacing w:val="-1"/>
        </w:rPr>
        <w:t> </w:t>
      </w:r>
      <w:r>
        <w:rPr/>
        <w:t>hood</w:t>
      </w:r>
      <w:r>
        <w:rPr>
          <w:spacing w:val="-2"/>
        </w:rPr>
        <w:t> </w:t>
      </w:r>
      <w:r>
        <w:rPr/>
        <w:t>with</w:t>
      </w:r>
      <w:r>
        <w:rPr>
          <w:spacing w:val="-1"/>
        </w:rPr>
        <w:t> </w:t>
      </w:r>
      <w:r>
        <w:rPr/>
        <w:t>a</w:t>
      </w:r>
      <w:r>
        <w:rPr>
          <w:spacing w:val="-2"/>
        </w:rPr>
        <w:t> </w:t>
      </w:r>
      <w:r>
        <w:rPr/>
        <w:t>joke? Phratry</w:t>
      </w:r>
      <w:r>
        <w:rPr>
          <w:spacing w:val="-7"/>
        </w:rPr>
        <w:t> </w:t>
      </w:r>
      <w:r>
        <w:rPr/>
        <w:t>with a</w:t>
      </w:r>
      <w:r>
        <w:rPr>
          <w:spacing w:val="-2"/>
        </w:rPr>
        <w:t> </w:t>
      </w:r>
      <w:r>
        <w:rPr/>
        <w:t>joke? Inter-ethnic alliance? Inter- clannish alliance? Sanankounya poses a problem of definition even if these various terminologies agree around the mocking remark and of their creation. The objective of this article</w:t>
      </w:r>
      <w:r>
        <w:rPr>
          <w:spacing w:val="-3"/>
        </w:rPr>
        <w:t> </w:t>
      </w:r>
      <w:r>
        <w:rPr/>
        <w:t>is to</w:t>
      </w:r>
      <w:r>
        <w:rPr>
          <w:spacing w:val="-1"/>
        </w:rPr>
        <w:t> </w:t>
      </w:r>
      <w:r>
        <w:rPr/>
        <w:t>revisit</w:t>
      </w:r>
      <w:r>
        <w:rPr>
          <w:spacing w:val="-1"/>
        </w:rPr>
        <w:t> </w:t>
      </w:r>
      <w:r>
        <w:rPr/>
        <w:t>the</w:t>
      </w:r>
      <w:r>
        <w:rPr>
          <w:spacing w:val="-1"/>
        </w:rPr>
        <w:t> </w:t>
      </w:r>
      <w:r>
        <w:rPr/>
        <w:t>sociolinguistics</w:t>
      </w:r>
      <w:r>
        <w:rPr>
          <w:spacing w:val="-2"/>
        </w:rPr>
        <w:t> </w:t>
      </w:r>
      <w:r>
        <w:rPr/>
        <w:t>concept</w:t>
      </w:r>
      <w:r>
        <w:rPr>
          <w:spacing w:val="-1"/>
        </w:rPr>
        <w:t> </w:t>
      </w:r>
      <w:r>
        <w:rPr/>
        <w:t>of sanankounya</w:t>
      </w:r>
      <w:r>
        <w:rPr>
          <w:spacing w:val="-1"/>
        </w:rPr>
        <w:t> </w:t>
      </w:r>
      <w:r>
        <w:rPr/>
        <w:t>through</w:t>
      </w:r>
      <w:r>
        <w:rPr>
          <w:spacing w:val="-1"/>
        </w:rPr>
        <w:t> </w:t>
      </w:r>
      <w:r>
        <w:rPr/>
        <w:t>these</w:t>
      </w:r>
      <w:r>
        <w:rPr>
          <w:spacing w:val="-1"/>
        </w:rPr>
        <w:t> </w:t>
      </w:r>
      <w:r>
        <w:rPr/>
        <w:t>circumstances</w:t>
      </w:r>
      <w:r>
        <w:rPr>
          <w:spacing w:val="-1"/>
        </w:rPr>
        <w:t> </w:t>
      </w:r>
      <w:r>
        <w:rPr/>
        <w:t>of state and its sociocultural demonstrations.</w:t>
      </w:r>
    </w:p>
    <w:p>
      <w:pPr>
        <w:pStyle w:val="BodyText"/>
        <w:tabs>
          <w:tab w:pos="6645" w:val="left" w:leader="none"/>
          <w:tab w:pos="7926" w:val="left" w:leader="none"/>
          <w:tab w:pos="8592" w:val="left" w:leader="none"/>
        </w:tabs>
        <w:spacing w:before="119"/>
      </w:pPr>
      <w:r>
        <w:rPr>
          <w:spacing w:val="-2"/>
        </w:rPr>
        <w:t>Moreover,sanankounya,asacommunicativeresource,covers</w:t>
      </w:r>
      <w:r>
        <w:rPr/>
        <w:tab/>
      </w:r>
      <w:r>
        <w:rPr>
          <w:spacing w:val="-2"/>
        </w:rPr>
        <w:t>pragmatic</w:t>
      </w:r>
      <w:r>
        <w:rPr/>
        <w:tab/>
      </w:r>
      <w:r>
        <w:rPr>
          <w:spacing w:val="-5"/>
        </w:rPr>
        <w:t>and</w:t>
      </w:r>
      <w:r>
        <w:rPr/>
        <w:tab/>
      </w:r>
      <w:r>
        <w:rPr>
          <w:spacing w:val="-2"/>
        </w:rPr>
        <w:t>interactional</w:t>
      </w:r>
    </w:p>
    <w:p>
      <w:pPr>
        <w:pStyle w:val="BodyText"/>
        <w:spacing w:line="276" w:lineRule="auto" w:before="44"/>
        <w:ind w:right="902"/>
      </w:pPr>
      <w:r>
        <w:rPr/>
        <w:t>dimension</w:t>
      </w:r>
      <w:r>
        <w:rPr>
          <w:spacing w:val="35"/>
        </w:rPr>
        <w:t> </w:t>
      </w:r>
      <w:r>
        <w:rPr/>
        <w:t>due</w:t>
      </w:r>
      <w:r>
        <w:rPr>
          <w:spacing w:val="35"/>
        </w:rPr>
        <w:t> </w:t>
      </w:r>
      <w:r>
        <w:rPr/>
        <w:t>to</w:t>
      </w:r>
      <w:r>
        <w:rPr>
          <w:spacing w:val="35"/>
        </w:rPr>
        <w:t> </w:t>
      </w:r>
      <w:r>
        <w:rPr/>
        <w:t>processes</w:t>
      </w:r>
      <w:r>
        <w:rPr>
          <w:spacing w:val="35"/>
        </w:rPr>
        <w:t> </w:t>
      </w:r>
      <w:r>
        <w:rPr/>
        <w:t>of</w:t>
      </w:r>
      <w:r>
        <w:rPr>
          <w:spacing w:val="35"/>
        </w:rPr>
        <w:t> </w:t>
      </w:r>
      <w:r>
        <w:rPr/>
        <w:t>contextualization</w:t>
      </w:r>
      <w:r>
        <w:rPr>
          <w:spacing w:val="30"/>
        </w:rPr>
        <w:t> </w:t>
      </w:r>
      <w:r>
        <w:rPr/>
        <w:t>of</w:t>
      </w:r>
      <w:r>
        <w:rPr>
          <w:spacing w:val="35"/>
        </w:rPr>
        <w:t> </w:t>
      </w:r>
      <w:r>
        <w:rPr/>
        <w:t>the</w:t>
      </w:r>
      <w:r>
        <w:rPr>
          <w:spacing w:val="35"/>
        </w:rPr>
        <w:t> </w:t>
      </w:r>
      <w:r>
        <w:rPr/>
        <w:t>linguistic</w:t>
      </w:r>
      <w:r>
        <w:rPr>
          <w:spacing w:val="33"/>
        </w:rPr>
        <w:t> </w:t>
      </w:r>
      <w:r>
        <w:rPr/>
        <w:t>data.</w:t>
      </w:r>
      <w:r>
        <w:rPr>
          <w:spacing w:val="35"/>
        </w:rPr>
        <w:t> </w:t>
      </w:r>
      <w:r>
        <w:rPr/>
        <w:t>Without</w:t>
      </w:r>
      <w:r>
        <w:rPr>
          <w:spacing w:val="33"/>
        </w:rPr>
        <w:t> </w:t>
      </w:r>
      <w:r>
        <w:rPr/>
        <w:t>judging</w:t>
      </w:r>
      <w:r>
        <w:rPr>
          <w:spacing w:val="32"/>
        </w:rPr>
        <w:t> </w:t>
      </w:r>
      <w:r>
        <w:rPr/>
        <w:t>its orientation,</w:t>
      </w:r>
      <w:r>
        <w:rPr>
          <w:spacing w:val="44"/>
        </w:rPr>
        <w:t> </w:t>
      </w:r>
      <w:r>
        <w:rPr/>
        <w:t>how</w:t>
      </w:r>
      <w:r>
        <w:rPr>
          <w:spacing w:val="44"/>
        </w:rPr>
        <w:t> </w:t>
      </w:r>
      <w:r>
        <w:rPr/>
        <w:t>can</w:t>
      </w:r>
      <w:r>
        <w:rPr>
          <w:spacing w:val="45"/>
        </w:rPr>
        <w:t> </w:t>
      </w:r>
      <w:r>
        <w:rPr/>
        <w:t>we</w:t>
      </w:r>
      <w:r>
        <w:rPr>
          <w:spacing w:val="46"/>
        </w:rPr>
        <w:t> </w:t>
      </w:r>
      <w:r>
        <w:rPr/>
        <w:t>evaluate</w:t>
      </w:r>
      <w:r>
        <w:rPr>
          <w:spacing w:val="44"/>
        </w:rPr>
        <w:t> </w:t>
      </w:r>
      <w:r>
        <w:rPr/>
        <w:t>the</w:t>
      </w:r>
      <w:r>
        <w:rPr>
          <w:spacing w:val="45"/>
        </w:rPr>
        <w:t> </w:t>
      </w:r>
      <w:r>
        <w:rPr/>
        <w:t>interlocutor's</w:t>
      </w:r>
      <w:r>
        <w:rPr>
          <w:spacing w:val="44"/>
        </w:rPr>
        <w:t> </w:t>
      </w:r>
      <w:r>
        <w:rPr/>
        <w:t>admissibility</w:t>
      </w:r>
      <w:r>
        <w:rPr>
          <w:spacing w:val="39"/>
        </w:rPr>
        <w:t> </w:t>
      </w:r>
      <w:r>
        <w:rPr/>
        <w:t>in</w:t>
      </w:r>
      <w:r>
        <w:rPr>
          <w:spacing w:val="45"/>
        </w:rPr>
        <w:t> </w:t>
      </w:r>
      <w:r>
        <w:rPr/>
        <w:t>sanankouyain</w:t>
      </w:r>
      <w:r>
        <w:rPr>
          <w:spacing w:val="44"/>
        </w:rPr>
        <w:t> </w:t>
      </w:r>
      <w:r>
        <w:rPr/>
        <w:t>order</w:t>
      </w:r>
      <w:r>
        <w:rPr>
          <w:spacing w:val="43"/>
        </w:rPr>
        <w:t> </w:t>
      </w:r>
      <w:r>
        <w:rPr>
          <w:spacing w:val="-5"/>
        </w:rPr>
        <w:t>to</w:t>
      </w:r>
    </w:p>
    <w:p>
      <w:pPr>
        <w:pStyle w:val="BodyText"/>
        <w:spacing w:before="9"/>
        <w:ind w:left="0"/>
        <w:rPr>
          <w:sz w:val="19"/>
        </w:rPr>
      </w:pPr>
      <w:r>
        <w:rPr/>
        <mc:AlternateContent>
          <mc:Choice Requires="wps">
            <w:drawing>
              <wp:anchor distT="0" distB="0" distL="0" distR="0" allowOverlap="1" layoutInCell="1" locked="0" behindDoc="1" simplePos="0" relativeHeight="487587840">
                <wp:simplePos x="0" y="0"/>
                <wp:positionH relativeFrom="page">
                  <wp:posOffset>900683</wp:posOffset>
                </wp:positionH>
                <wp:positionV relativeFrom="paragraph">
                  <wp:posOffset>159808</wp:posOffset>
                </wp:positionV>
                <wp:extent cx="1828800" cy="9525"/>
                <wp:effectExtent l="0" t="0" r="0" b="0"/>
                <wp:wrapTopAndBottom/>
                <wp:docPr id="5" name="Graphic 5"/>
                <wp:cNvGraphicFramePr>
                  <a:graphicFrameLocks/>
                </wp:cNvGraphicFramePr>
                <a:graphic>
                  <a:graphicData uri="http://schemas.microsoft.com/office/word/2010/wordprocessingShape">
                    <wps:wsp>
                      <wps:cNvPr id="5" name="Graphic 5"/>
                      <wps:cNvSpPr/>
                      <wps:spPr>
                        <a:xfrm>
                          <a:off x="0" y="0"/>
                          <a:ext cx="1828800" cy="9525"/>
                        </a:xfrm>
                        <a:custGeom>
                          <a:avLst/>
                          <a:gdLst/>
                          <a:ahLst/>
                          <a:cxnLst/>
                          <a:rect l="l" t="t" r="r" b="b"/>
                          <a:pathLst>
                            <a:path w="1828800" h="9525">
                              <a:moveTo>
                                <a:pt x="1828800" y="9143"/>
                              </a:moveTo>
                              <a:lnTo>
                                <a:pt x="0" y="9143"/>
                              </a:lnTo>
                              <a:lnTo>
                                <a:pt x="0" y="0"/>
                              </a:lnTo>
                              <a:lnTo>
                                <a:pt x="1828800" y="0"/>
                              </a:lnTo>
                              <a:lnTo>
                                <a:pt x="1828800" y="9143"/>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70.919998pt;margin-top:12.583323pt;width:144.0pt;height:.719971pt;mso-position-horizontal-relative:page;mso-position-vertical-relative:paragraph;z-index:-15728640;mso-wrap-distance-left:0;mso-wrap-distance-right:0" id="docshape3" filled="true" fillcolor="#000000" stroked="false">
                <v:fill type="solid"/>
                <w10:wrap type="topAndBottom"/>
              </v:rect>
            </w:pict>
          </mc:Fallback>
        </mc:AlternateContent>
      </w:r>
    </w:p>
    <w:p>
      <w:pPr>
        <w:spacing w:before="96"/>
        <w:ind w:left="718" w:right="0" w:firstLine="0"/>
        <w:jc w:val="left"/>
        <w:rPr>
          <w:sz w:val="20"/>
        </w:rPr>
      </w:pPr>
      <w:r>
        <w:rPr>
          <w:sz w:val="20"/>
        </w:rPr>
        <w:t>*Auteur</w:t>
      </w:r>
      <w:r>
        <w:rPr>
          <w:spacing w:val="-5"/>
          <w:sz w:val="20"/>
        </w:rPr>
        <w:t> </w:t>
      </w:r>
      <w:r>
        <w:rPr>
          <w:sz w:val="20"/>
        </w:rPr>
        <w:t>correspondant</w:t>
      </w:r>
      <w:r>
        <w:rPr>
          <w:spacing w:val="-5"/>
          <w:sz w:val="20"/>
        </w:rPr>
        <w:t> </w:t>
      </w:r>
      <w:r>
        <w:rPr>
          <w:sz w:val="20"/>
        </w:rPr>
        <w:t>:</w:t>
      </w:r>
      <w:r>
        <w:rPr>
          <w:spacing w:val="-7"/>
          <w:sz w:val="20"/>
        </w:rPr>
        <w:t> </w:t>
      </w:r>
      <w:hyperlink r:id="rId9">
        <w:r>
          <w:rPr>
            <w:spacing w:val="-2"/>
            <w:sz w:val="20"/>
          </w:rPr>
          <w:t>persona.js62@gmail.com</w:t>
        </w:r>
      </w:hyperlink>
    </w:p>
    <w:p>
      <w:pPr>
        <w:spacing w:after="0"/>
        <w:jc w:val="left"/>
        <w:rPr>
          <w:sz w:val="20"/>
        </w:rPr>
        <w:sectPr>
          <w:type w:val="continuous"/>
          <w:pgSz w:w="11910" w:h="16840"/>
          <w:pgMar w:header="0" w:footer="1005" w:top="840" w:bottom="1200" w:left="700" w:right="260"/>
        </w:sectPr>
      </w:pPr>
    </w:p>
    <w:p>
      <w:pPr>
        <w:pStyle w:val="BodyText"/>
        <w:spacing w:line="276" w:lineRule="auto" w:before="271"/>
        <w:ind w:right="1153"/>
        <w:jc w:val="both"/>
      </w:pPr>
      <w:r>
        <w:rPr/>
        <w:t>make of it, a factor of conflict prevention? The analysis leaves the assumption that the correspondence between the intention conveyed by the statement of a speaker and interpretation that makes the interlocutor plays a part of regulation in the communication. From the contextualization's indices, which are words and expressions assigned to the</w:t>
      </w:r>
      <w:r>
        <w:rPr>
          <w:spacing w:val="40"/>
        </w:rPr>
        <w:t> </w:t>
      </w:r>
      <w:r>
        <w:rPr/>
        <w:t>customs and habits of the</w:t>
      </w:r>
      <w:r>
        <w:rPr>
          <w:spacing w:val="80"/>
        </w:rPr>
        <w:t> </w:t>
      </w:r>
      <w:r>
        <w:rPr/>
        <w:t>sanankoun's interlocutors, the</w:t>
      </w:r>
      <w:r>
        <w:rPr>
          <w:spacing w:val="80"/>
        </w:rPr>
        <w:t> </w:t>
      </w:r>
      <w:r>
        <w:rPr/>
        <w:t>study examines</w:t>
      </w:r>
      <w:r>
        <w:rPr>
          <w:spacing w:val="80"/>
        </w:rPr>
        <w:t> </w:t>
      </w:r>
      <w:r>
        <w:rPr/>
        <w:t>the</w:t>
      </w:r>
      <w:r>
        <w:rPr>
          <w:spacing w:val="80"/>
        </w:rPr>
        <w:t> </w:t>
      </w:r>
      <w:r>
        <w:rPr/>
        <w:t>pragmatic range</w:t>
      </w:r>
      <w:r>
        <w:rPr>
          <w:spacing w:val="40"/>
        </w:rPr>
        <w:t> </w:t>
      </w:r>
      <w:r>
        <w:rPr/>
        <w:t>of</w:t>
      </w:r>
      <w:r>
        <w:rPr>
          <w:spacing w:val="40"/>
        </w:rPr>
        <w:t> </w:t>
      </w:r>
      <w:r>
        <w:rPr/>
        <w:t>the</w:t>
      </w:r>
      <w:r>
        <w:rPr>
          <w:spacing w:val="40"/>
        </w:rPr>
        <w:t> </w:t>
      </w:r>
      <w:r>
        <w:rPr/>
        <w:t>statement stuttered through this form of alliance.</w:t>
      </w:r>
    </w:p>
    <w:p>
      <w:pPr>
        <w:pStyle w:val="BodyText"/>
        <w:spacing w:line="276" w:lineRule="auto" w:before="119"/>
        <w:ind w:right="1157"/>
        <w:jc w:val="both"/>
      </w:pPr>
      <w:r>
        <w:rPr>
          <w:b/>
        </w:rPr>
        <w:t>Keywords</w:t>
      </w:r>
      <w:r>
        <w:rPr>
          <w:b/>
          <w:spacing w:val="-3"/>
        </w:rPr>
        <w:t> </w:t>
      </w:r>
      <w:r>
        <w:rPr>
          <w:b/>
        </w:rPr>
        <w:t>: </w:t>
      </w:r>
      <w:r>
        <w:rPr/>
        <w:t>vericonditionality, interclan alliance, sociolinguistic concept, sociocultural manifestations, interaction</w:t>
      </w:r>
    </w:p>
    <w:p>
      <w:pPr>
        <w:pStyle w:val="Heading1"/>
        <w:spacing w:before="164"/>
        <w:jc w:val="left"/>
      </w:pPr>
      <w:r>
        <w:rPr>
          <w:spacing w:val="-2"/>
        </w:rPr>
        <w:t>Introduction</w:t>
      </w:r>
    </w:p>
    <w:p>
      <w:pPr>
        <w:pStyle w:val="BodyText"/>
        <w:spacing w:line="276" w:lineRule="auto" w:before="159"/>
        <w:ind w:right="1151"/>
        <w:jc w:val="both"/>
      </w:pPr>
      <w:r>
        <w:rPr/>
        <w:t>La parenté à plaisanterie prend diverses formes assorties de terminologies bien précises selon les communautés. C’est toukpê (Akan), dendiraagal (peulhs), kal (wolof), matir (sérère), Mangu (Dogons), atoudjiré (Kroumen) […] et sanankounya (mandingue).Dans les sémèmes du même champ lexical de la parenté à plaisanterie, à savoir le cousinage à plaisanterie, la fratrie à plaisanterie, l’alliance interethnique, l’alliance interclanique, apparaît le sème générique de l’amusement. Mais aucun de ces vocables ne saurait traduire fidèlement la</w:t>
      </w:r>
      <w:r>
        <w:rPr>
          <w:spacing w:val="40"/>
        </w:rPr>
        <w:t> </w:t>
      </w:r>
      <w:r>
        <w:rPr/>
        <w:t>teneur</w:t>
      </w:r>
      <w:r>
        <w:rPr>
          <w:spacing w:val="-1"/>
        </w:rPr>
        <w:t> </w:t>
      </w:r>
      <w:r>
        <w:rPr/>
        <w:t>culturelle</w:t>
      </w:r>
      <w:r>
        <w:rPr>
          <w:spacing w:val="-1"/>
        </w:rPr>
        <w:t> </w:t>
      </w:r>
      <w:r>
        <w:rPr/>
        <w:t>du</w:t>
      </w:r>
      <w:r>
        <w:rPr>
          <w:spacing w:val="-1"/>
        </w:rPr>
        <w:t> </w:t>
      </w:r>
      <w:r>
        <w:rPr/>
        <w:t>sanankounya</w:t>
      </w:r>
      <w:r>
        <w:rPr>
          <w:spacing w:val="-1"/>
        </w:rPr>
        <w:t> </w:t>
      </w:r>
      <w:r>
        <w:rPr/>
        <w:t>en</w:t>
      </w:r>
      <w:r>
        <w:rPr>
          <w:spacing w:val="-3"/>
        </w:rPr>
        <w:t> </w:t>
      </w:r>
      <w:r>
        <w:rPr/>
        <w:t>malinké</w:t>
      </w:r>
      <w:r>
        <w:rPr>
          <w:spacing w:val="-1"/>
        </w:rPr>
        <w:t> </w:t>
      </w:r>
      <w:r>
        <w:rPr/>
        <w:t>eu</w:t>
      </w:r>
      <w:r>
        <w:rPr>
          <w:spacing w:val="-3"/>
        </w:rPr>
        <w:t> </w:t>
      </w:r>
      <w:r>
        <w:rPr/>
        <w:t>égard</w:t>
      </w:r>
      <w:r>
        <w:rPr>
          <w:spacing w:val="-1"/>
        </w:rPr>
        <w:t> </w:t>
      </w:r>
      <w:r>
        <w:rPr/>
        <w:t>à</w:t>
      </w:r>
      <w:r>
        <w:rPr>
          <w:spacing w:val="-1"/>
        </w:rPr>
        <w:t> </w:t>
      </w:r>
      <w:r>
        <w:rPr/>
        <w:t>ses</w:t>
      </w:r>
      <w:r>
        <w:rPr>
          <w:spacing w:val="-3"/>
        </w:rPr>
        <w:t> </w:t>
      </w:r>
      <w:r>
        <w:rPr/>
        <w:t>manifestations</w:t>
      </w:r>
      <w:r>
        <w:rPr>
          <w:spacing w:val="-1"/>
        </w:rPr>
        <w:t> </w:t>
      </w:r>
      <w:r>
        <w:rPr/>
        <w:t>diverses</w:t>
      </w:r>
      <w:r>
        <w:rPr>
          <w:spacing w:val="-1"/>
        </w:rPr>
        <w:t> </w:t>
      </w:r>
      <w:r>
        <w:rPr/>
        <w:t>liées</w:t>
      </w:r>
      <w:r>
        <w:rPr>
          <w:spacing w:val="-3"/>
        </w:rPr>
        <w:t> </w:t>
      </w:r>
      <w:r>
        <w:rPr/>
        <w:t>à</w:t>
      </w:r>
      <w:r>
        <w:rPr>
          <w:spacing w:val="-1"/>
        </w:rPr>
        <w:t> </w:t>
      </w:r>
      <w:r>
        <w:rPr/>
        <w:t>des circonstances d’énonciation spécifiques.Quel instrument de régulation sociale a pu être le sanankounya ? Comment cette pratique peut-elle contribuer au maintien d’une atmosphère de paix et de non-violence en période électorale ?L’objectif de cet article est de revisiter l’ancrage</w:t>
      </w:r>
      <w:r>
        <w:rPr>
          <w:spacing w:val="-6"/>
        </w:rPr>
        <w:t> </w:t>
      </w:r>
      <w:r>
        <w:rPr/>
        <w:t>socio-historique</w:t>
      </w:r>
      <w:r>
        <w:rPr>
          <w:spacing w:val="-3"/>
        </w:rPr>
        <w:t> </w:t>
      </w:r>
      <w:r>
        <w:rPr/>
        <w:t>du</w:t>
      </w:r>
      <w:r>
        <w:rPr>
          <w:spacing w:val="-3"/>
        </w:rPr>
        <w:t> </w:t>
      </w:r>
      <w:r>
        <w:rPr/>
        <w:t>sanankounya</w:t>
      </w:r>
      <w:r>
        <w:rPr>
          <w:spacing w:val="-2"/>
        </w:rPr>
        <w:t> </w:t>
      </w:r>
      <w:r>
        <w:rPr/>
        <w:t>pour</w:t>
      </w:r>
      <w:r>
        <w:rPr>
          <w:spacing w:val="-3"/>
        </w:rPr>
        <w:t> </w:t>
      </w:r>
      <w:r>
        <w:rPr/>
        <w:t>en</w:t>
      </w:r>
      <w:r>
        <w:rPr>
          <w:spacing w:val="-3"/>
        </w:rPr>
        <w:t> </w:t>
      </w:r>
      <w:r>
        <w:rPr/>
        <w:t>déterminer</w:t>
      </w:r>
      <w:r>
        <w:rPr>
          <w:spacing w:val="-7"/>
        </w:rPr>
        <w:t> </w:t>
      </w:r>
      <w:r>
        <w:rPr/>
        <w:t>les</w:t>
      </w:r>
      <w:r>
        <w:rPr>
          <w:spacing w:val="-3"/>
        </w:rPr>
        <w:t> </w:t>
      </w:r>
      <w:r>
        <w:rPr/>
        <w:t>manifestations</w:t>
      </w:r>
      <w:r>
        <w:rPr>
          <w:spacing w:val="-3"/>
        </w:rPr>
        <w:t> </w:t>
      </w:r>
      <w:r>
        <w:rPr/>
        <w:t>linguistiques en faveur de la paix.</w:t>
      </w:r>
    </w:p>
    <w:p>
      <w:pPr>
        <w:pStyle w:val="BodyText"/>
        <w:spacing w:line="276" w:lineRule="auto" w:before="120"/>
        <w:ind w:right="1155"/>
        <w:jc w:val="both"/>
      </w:pPr>
      <w:r>
        <w:rPr/>
        <w:t>L’étude se fonde sur l’hypothèse que le recours au Sanankouya pendant les compétitionsélectorales réduit les dérives verbales et, partant, les risques de tension entre les partis.À partir d’une analyse structurale du sanankouya formalisé par la charte de kouroukanfouga, l’étude examine les propriétés linguistiques du sanankouya et sa portée pragmatique illustrée par un cas de règlement de conflit.</w:t>
      </w:r>
    </w:p>
    <w:p>
      <w:pPr>
        <w:pStyle w:val="Heading1"/>
        <w:numPr>
          <w:ilvl w:val="0"/>
          <w:numId w:val="1"/>
        </w:numPr>
        <w:tabs>
          <w:tab w:pos="958" w:val="left" w:leader="none"/>
        </w:tabs>
        <w:spacing w:line="240" w:lineRule="auto" w:before="124" w:after="0"/>
        <w:ind w:left="958" w:right="0" w:hanging="240"/>
        <w:jc w:val="both"/>
      </w:pPr>
      <w:r>
        <w:rPr/>
        <w:t>Considération</w:t>
      </w:r>
      <w:r>
        <w:rPr>
          <w:spacing w:val="-1"/>
        </w:rPr>
        <w:t> </w:t>
      </w:r>
      <w:r>
        <w:rPr/>
        <w:t>étymologique</w:t>
      </w:r>
      <w:r>
        <w:rPr>
          <w:spacing w:val="-1"/>
        </w:rPr>
        <w:t> </w:t>
      </w:r>
      <w:r>
        <w:rPr/>
        <w:t>de</w:t>
      </w:r>
      <w:r>
        <w:rPr>
          <w:spacing w:val="-1"/>
        </w:rPr>
        <w:t> </w:t>
      </w:r>
      <w:r>
        <w:rPr>
          <w:spacing w:val="-2"/>
        </w:rPr>
        <w:t>sanankounya</w:t>
      </w:r>
    </w:p>
    <w:p>
      <w:pPr>
        <w:pStyle w:val="BodyText"/>
        <w:spacing w:line="278" w:lineRule="auto" w:before="156"/>
        <w:ind w:right="1150"/>
        <w:jc w:val="both"/>
      </w:pPr>
      <w:r>
        <w:rPr/>
        <w:t>Il faut se référer à la grande société mandingue, depuis l’époque de l’Empire soninké ou empire</w:t>
      </w:r>
      <w:r>
        <w:rPr>
          <w:spacing w:val="-5"/>
        </w:rPr>
        <w:t> </w:t>
      </w:r>
      <w:r>
        <w:rPr/>
        <w:t>du Ghana (III</w:t>
      </w:r>
      <w:r>
        <w:rPr>
          <w:vertAlign w:val="superscript"/>
        </w:rPr>
        <w:t>ème</w:t>
      </w:r>
      <w:r>
        <w:rPr>
          <w:vertAlign w:val="baseline"/>
        </w:rPr>
        <w:t>-XI</w:t>
      </w:r>
      <w:r>
        <w:rPr>
          <w:vertAlign w:val="superscript"/>
        </w:rPr>
        <w:t>ème</w:t>
      </w:r>
      <w:r>
        <w:rPr>
          <w:spacing w:val="-15"/>
          <w:vertAlign w:val="baseline"/>
        </w:rPr>
        <w:t> </w:t>
      </w:r>
      <w:r>
        <w:rPr>
          <w:vertAlign w:val="baseline"/>
        </w:rPr>
        <w:t>siècle) qui a réuni plusieurs communautés ethniques (Soninkés, Peuls, Maures, Ouolofs, Malinkés, Songhoy et autres) sous le règne de Kaya Maghan Cissé.L’apparition du pacte du sanankounya entre ces différentes communautés est expliquée à travers des mythes et des légendes (peul/forgeron ; koné/traoré ). Mais le sanankouya est formalisé et consacré par la charte de Kouroukanfougan, en somme la première déclaration des droits de l’Homme au monde, sous l’autorité de l’empereur Soundiata Kéita en 1236</w:t>
      </w:r>
      <w:r>
        <w:rPr>
          <w:vertAlign w:val="superscript"/>
        </w:rPr>
        <w:t>2</w:t>
      </w:r>
      <w:r>
        <w:rPr>
          <w:vertAlign w:val="baseline"/>
        </w:rPr>
        <w:t>. Le but était de réconcilier les ennemis des batailles entre Soumangourou Kanté et Soundiata Kéita, d’une part, et de prévenir les conflits, d’autre part. Dans toutes les communautés, il existe ce type derelation.</w:t>
      </w:r>
    </w:p>
    <w:p>
      <w:pPr>
        <w:pStyle w:val="BodyText"/>
        <w:ind w:left="0"/>
        <w:rPr>
          <w:sz w:val="20"/>
        </w:rPr>
      </w:pPr>
    </w:p>
    <w:p>
      <w:pPr>
        <w:pStyle w:val="BodyText"/>
        <w:spacing w:before="144"/>
        <w:ind w:left="0"/>
        <w:rPr>
          <w:sz w:val="20"/>
        </w:rPr>
      </w:pPr>
      <w:r>
        <w:rPr/>
        <mc:AlternateContent>
          <mc:Choice Requires="wps">
            <w:drawing>
              <wp:anchor distT="0" distB="0" distL="0" distR="0" allowOverlap="1" layoutInCell="1" locked="0" behindDoc="1" simplePos="0" relativeHeight="487589376">
                <wp:simplePos x="0" y="0"/>
                <wp:positionH relativeFrom="page">
                  <wp:posOffset>900683</wp:posOffset>
                </wp:positionH>
                <wp:positionV relativeFrom="paragraph">
                  <wp:posOffset>252863</wp:posOffset>
                </wp:positionV>
                <wp:extent cx="1828800" cy="9525"/>
                <wp:effectExtent l="0" t="0" r="0" b="0"/>
                <wp:wrapTopAndBottom/>
                <wp:docPr id="8" name="Graphic 8"/>
                <wp:cNvGraphicFramePr>
                  <a:graphicFrameLocks/>
                </wp:cNvGraphicFramePr>
                <a:graphic>
                  <a:graphicData uri="http://schemas.microsoft.com/office/word/2010/wordprocessingShape">
                    <wps:wsp>
                      <wps:cNvPr id="8" name="Graphic 8"/>
                      <wps:cNvSpPr/>
                      <wps:spPr>
                        <a:xfrm>
                          <a:off x="0" y="0"/>
                          <a:ext cx="1828800" cy="9525"/>
                        </a:xfrm>
                        <a:custGeom>
                          <a:avLst/>
                          <a:gdLst/>
                          <a:ahLst/>
                          <a:cxnLst/>
                          <a:rect l="l" t="t" r="r" b="b"/>
                          <a:pathLst>
                            <a:path w="1828800" h="9525">
                              <a:moveTo>
                                <a:pt x="1828800" y="9144"/>
                              </a:moveTo>
                              <a:lnTo>
                                <a:pt x="0" y="9144"/>
                              </a:lnTo>
                              <a:lnTo>
                                <a:pt x="0" y="0"/>
                              </a:lnTo>
                              <a:lnTo>
                                <a:pt x="1828800" y="0"/>
                              </a:lnTo>
                              <a:lnTo>
                                <a:pt x="1828800" y="9144"/>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70.919998pt;margin-top:19.910547pt;width:144.0pt;height:.720017pt;mso-position-horizontal-relative:page;mso-position-vertical-relative:paragraph;z-index:-15727104;mso-wrap-distance-left:0;mso-wrap-distance-right:0" id="docshape6" filled="true" fillcolor="#000000" stroked="false">
                <v:fill type="solid"/>
                <w10:wrap type="topAndBottom"/>
              </v:rect>
            </w:pict>
          </mc:Fallback>
        </mc:AlternateContent>
      </w:r>
    </w:p>
    <w:p>
      <w:pPr>
        <w:spacing w:line="261" w:lineRule="auto" w:before="113"/>
        <w:ind w:left="819" w:right="1243" w:firstLine="0"/>
        <w:jc w:val="both"/>
        <w:rPr>
          <w:sz w:val="20"/>
        </w:rPr>
      </w:pPr>
      <w:r>
        <w:rPr>
          <w:sz w:val="20"/>
          <w:vertAlign w:val="superscript"/>
        </w:rPr>
        <w:t>2</w:t>
      </w:r>
      <w:r>
        <w:rPr>
          <w:sz w:val="20"/>
          <w:vertAlign w:val="baseline"/>
        </w:rPr>
        <w:t> La charte de kouroukanfougan (Djibril TamsirNiane, 2009) est créée lors d’une grande assemblée générale présidée par l’empereur de l’empire du Mali, Soundiata Kéita, grand vainqueur de la bataille de Kirina contre Soumahoro Kanté. Elle comprend quarante-quatre articles traitant</w:t>
      </w:r>
      <w:r>
        <w:rPr>
          <w:spacing w:val="40"/>
          <w:sz w:val="20"/>
          <w:vertAlign w:val="baseline"/>
        </w:rPr>
        <w:t> </w:t>
      </w:r>
      <w:r>
        <w:rPr>
          <w:sz w:val="20"/>
          <w:vertAlign w:val="baseline"/>
        </w:rPr>
        <w:t>de l’organisation de la vie sociale, de la gestion des biens, de la préservation de la nature et autres lois régissant le Manding.</w:t>
      </w:r>
    </w:p>
    <w:p>
      <w:pPr>
        <w:spacing w:after="0" w:line="261" w:lineRule="auto"/>
        <w:jc w:val="both"/>
        <w:rPr>
          <w:sz w:val="20"/>
        </w:rPr>
        <w:sectPr>
          <w:headerReference w:type="even" r:id="rId10"/>
          <w:headerReference w:type="default" r:id="rId11"/>
          <w:pgSz w:w="11910" w:h="16840"/>
          <w:pgMar w:header="430" w:footer="0" w:top="840" w:bottom="1200" w:left="700" w:right="260"/>
        </w:sectPr>
      </w:pPr>
    </w:p>
    <w:p>
      <w:pPr>
        <w:pStyle w:val="BodyText"/>
        <w:spacing w:line="276" w:lineRule="auto" w:before="271"/>
        <w:ind w:right="1149"/>
        <w:jc w:val="both"/>
      </w:pPr>
      <w:r>
        <w:rPr/>
        <w:t>Ainsi, dans l’espace ouest-africain, on note quelques relations d’alliance ethnopatronymiqueà l’intérieur des clans. On peut citer à titre d'exemple les résultats des enquêtes menées par Sissao (2002) dans la province du Kénédougou, précisément dans les villages de Samogohiri, Banzon, Kourouma, Kayan, où les patronymes suivants sont systématiquement des alliés àplaisanterie : Traoré / Koné, Ouatttara / Coulibaly, Cissé / Barro, Diarra / koné, Barro / Konaté, Diarra / Coulibaly, Traoré / Coulibaly, Tioro / Tioro, Tanon / Barro. Toujours, selon Sissao, on distingue, chez les Bwaba, les patronymes suivants alliés : Keïta / Coulibaly ; Diarra/Coulibaly ; Dembélé / Traoré. Dans la Comoé, les patronymes suivants sont des alliés Koné/Traoré; Ouattara/ Coulibaly ; Traoré / Diarra / Koné; Traoré / Koné ; Traoré / Diarra ; Ouattara / Coulibaly ; Koné/ Coulibaly, Touré / Barro ; Traoré / Kanté.</w:t>
      </w:r>
    </w:p>
    <w:p>
      <w:pPr>
        <w:pStyle w:val="BodyText"/>
        <w:spacing w:line="276" w:lineRule="auto" w:before="119"/>
        <w:ind w:right="1152"/>
        <w:jc w:val="both"/>
      </w:pPr>
      <w:r>
        <w:rPr/>
        <w:t>Par ailleurs, des facteurs contextuels rendus par les mythes et légendes ont pu fonder certains pactes</w:t>
      </w:r>
      <w:r>
        <w:rPr>
          <w:spacing w:val="38"/>
        </w:rPr>
        <w:t> </w:t>
      </w:r>
      <w:r>
        <w:rPr/>
        <w:t>d’alliance</w:t>
      </w:r>
      <w:r>
        <w:rPr>
          <w:spacing w:val="36"/>
        </w:rPr>
        <w:t> </w:t>
      </w:r>
      <w:r>
        <w:rPr/>
        <w:t>entre</w:t>
      </w:r>
      <w:r>
        <w:rPr>
          <w:spacing w:val="36"/>
        </w:rPr>
        <w:t> </w:t>
      </w:r>
      <w:r>
        <w:rPr/>
        <w:t>les</w:t>
      </w:r>
      <w:r>
        <w:rPr>
          <w:spacing w:val="38"/>
        </w:rPr>
        <w:t> </w:t>
      </w:r>
      <w:r>
        <w:rPr/>
        <w:t>clans/ethnies</w:t>
      </w:r>
      <w:r>
        <w:rPr>
          <w:spacing w:val="38"/>
        </w:rPr>
        <w:t> </w:t>
      </w:r>
      <w:r>
        <w:rPr/>
        <w:t>:</w:t>
      </w:r>
      <w:r>
        <w:rPr>
          <w:spacing w:val="38"/>
        </w:rPr>
        <w:t> </w:t>
      </w:r>
      <w:r>
        <w:rPr/>
        <w:t>peuls</w:t>
      </w:r>
      <w:r>
        <w:rPr>
          <w:spacing w:val="36"/>
        </w:rPr>
        <w:t> </w:t>
      </w:r>
      <w:r>
        <w:rPr/>
        <w:t>et</w:t>
      </w:r>
      <w:r>
        <w:rPr>
          <w:spacing w:val="38"/>
        </w:rPr>
        <w:t> </w:t>
      </w:r>
      <w:r>
        <w:rPr/>
        <w:t>forgerons</w:t>
      </w:r>
      <w:r>
        <w:rPr>
          <w:spacing w:val="38"/>
        </w:rPr>
        <w:t> </w:t>
      </w:r>
      <w:r>
        <w:rPr/>
        <w:t>(lait</w:t>
      </w:r>
      <w:r>
        <w:rPr>
          <w:spacing w:val="40"/>
        </w:rPr>
        <w:t> </w:t>
      </w:r>
      <w:r>
        <w:rPr/>
        <w:t>et</w:t>
      </w:r>
      <w:r>
        <w:rPr>
          <w:spacing w:val="36"/>
        </w:rPr>
        <w:t> </w:t>
      </w:r>
      <w:r>
        <w:rPr/>
        <w:t>fer)</w:t>
      </w:r>
      <w:r>
        <w:rPr>
          <w:spacing w:val="40"/>
        </w:rPr>
        <w:t> </w:t>
      </w:r>
      <w:r>
        <w:rPr/>
        <w:t>;</w:t>
      </w:r>
      <w:r>
        <w:rPr>
          <w:spacing w:val="40"/>
        </w:rPr>
        <w:t> </w:t>
      </w:r>
      <w:r>
        <w:rPr/>
        <w:t>les</w:t>
      </w:r>
      <w:r>
        <w:rPr>
          <w:spacing w:val="34"/>
        </w:rPr>
        <w:t> </w:t>
      </w:r>
      <w:r>
        <w:rPr/>
        <w:t>mossé</w:t>
      </w:r>
      <w:r>
        <w:rPr>
          <w:spacing w:val="36"/>
        </w:rPr>
        <w:t> </w:t>
      </w:r>
      <w:r>
        <w:rPr/>
        <w:t>et</w:t>
      </w:r>
      <w:r>
        <w:rPr>
          <w:spacing w:val="36"/>
        </w:rPr>
        <w:t> </w:t>
      </w:r>
      <w:r>
        <w:rPr/>
        <w:t>les bobo</w:t>
      </w:r>
      <w:r>
        <w:rPr>
          <w:spacing w:val="-1"/>
        </w:rPr>
        <w:t> </w:t>
      </w:r>
      <w:r>
        <w:rPr/>
        <w:t>; malinké et peul ; malinké et sénoufo;soussou et peul ; senoufo etkoyaka ; Baoulé et Agni, etc., (Henri Légré Okou, 1994).On complète cette liste avec</w:t>
      </w:r>
      <w:r>
        <w:rPr>
          <w:spacing w:val="-3"/>
        </w:rPr>
        <w:t> </w:t>
      </w:r>
      <w:r>
        <w:rPr/>
        <w:t>le cas spécifique de la Côte d’Ivoire illustré par la cartographie des alliances à plaisanterie de Henri Légré Okou (1994,</w:t>
      </w:r>
      <w:r>
        <w:rPr>
          <w:spacing w:val="80"/>
        </w:rPr>
        <w:t> </w:t>
      </w:r>
      <w:r>
        <w:rPr/>
        <w:t>5). Celui-cidistingue quatre ceintures transethniques d’alliance en Côte d'Ivoire :</w:t>
      </w:r>
    </w:p>
    <w:p>
      <w:pPr>
        <w:spacing w:before="119"/>
        <w:ind w:left="1851" w:right="0" w:firstLine="0"/>
        <w:jc w:val="left"/>
        <w:rPr>
          <w:i/>
          <w:sz w:val="22"/>
        </w:rPr>
      </w:pPr>
      <w:r>
        <w:rPr>
          <w:sz w:val="24"/>
        </w:rPr>
        <w:t>-</w:t>
      </w:r>
      <w:r>
        <w:rPr>
          <w:i/>
          <w:sz w:val="22"/>
        </w:rPr>
        <w:t>Les</w:t>
      </w:r>
      <w:r>
        <w:rPr>
          <w:i/>
          <w:spacing w:val="71"/>
          <w:sz w:val="22"/>
        </w:rPr>
        <w:t> </w:t>
      </w:r>
      <w:r>
        <w:rPr>
          <w:i/>
          <w:sz w:val="22"/>
        </w:rPr>
        <w:t>Yacouba,</w:t>
      </w:r>
      <w:r>
        <w:rPr>
          <w:i/>
          <w:spacing w:val="66"/>
          <w:sz w:val="22"/>
        </w:rPr>
        <w:t> </w:t>
      </w:r>
      <w:r>
        <w:rPr>
          <w:i/>
          <w:sz w:val="22"/>
        </w:rPr>
        <w:t>les</w:t>
      </w:r>
      <w:r>
        <w:rPr>
          <w:i/>
          <w:spacing w:val="71"/>
          <w:sz w:val="22"/>
        </w:rPr>
        <w:t> </w:t>
      </w:r>
      <w:r>
        <w:rPr>
          <w:i/>
          <w:sz w:val="22"/>
        </w:rPr>
        <w:t>Gouro,</w:t>
      </w:r>
      <w:r>
        <w:rPr>
          <w:i/>
          <w:spacing w:val="71"/>
          <w:sz w:val="22"/>
        </w:rPr>
        <w:t> </w:t>
      </w:r>
      <w:r>
        <w:rPr>
          <w:i/>
          <w:sz w:val="22"/>
        </w:rPr>
        <w:t>les</w:t>
      </w:r>
      <w:r>
        <w:rPr>
          <w:i/>
          <w:spacing w:val="71"/>
          <w:sz w:val="22"/>
        </w:rPr>
        <w:t> </w:t>
      </w:r>
      <w:r>
        <w:rPr>
          <w:i/>
          <w:sz w:val="22"/>
        </w:rPr>
        <w:t>Koyaka,</w:t>
      </w:r>
      <w:r>
        <w:rPr>
          <w:i/>
          <w:spacing w:val="68"/>
          <w:sz w:val="22"/>
        </w:rPr>
        <w:t> </w:t>
      </w:r>
      <w:r>
        <w:rPr>
          <w:i/>
          <w:sz w:val="22"/>
        </w:rPr>
        <w:t>les</w:t>
      </w:r>
      <w:r>
        <w:rPr>
          <w:i/>
          <w:spacing w:val="71"/>
          <w:sz w:val="22"/>
        </w:rPr>
        <w:t> </w:t>
      </w:r>
      <w:r>
        <w:rPr>
          <w:i/>
          <w:sz w:val="22"/>
        </w:rPr>
        <w:t>Sénoufo,</w:t>
      </w:r>
      <w:r>
        <w:rPr>
          <w:i/>
          <w:spacing w:val="68"/>
          <w:sz w:val="22"/>
        </w:rPr>
        <w:t> </w:t>
      </w:r>
      <w:r>
        <w:rPr>
          <w:i/>
          <w:sz w:val="22"/>
        </w:rPr>
        <w:t>les</w:t>
      </w:r>
      <w:r>
        <w:rPr>
          <w:i/>
          <w:spacing w:val="71"/>
          <w:sz w:val="22"/>
        </w:rPr>
        <w:t> </w:t>
      </w:r>
      <w:r>
        <w:rPr>
          <w:i/>
          <w:sz w:val="22"/>
        </w:rPr>
        <w:t>Tangkana,</w:t>
      </w:r>
      <w:r>
        <w:rPr>
          <w:i/>
          <w:spacing w:val="66"/>
          <w:sz w:val="22"/>
        </w:rPr>
        <w:t> </w:t>
      </w:r>
      <w:r>
        <w:rPr>
          <w:i/>
          <w:sz w:val="22"/>
        </w:rPr>
        <w:t>les</w:t>
      </w:r>
      <w:r>
        <w:rPr>
          <w:i/>
          <w:spacing w:val="71"/>
          <w:sz w:val="22"/>
        </w:rPr>
        <w:t> </w:t>
      </w:r>
      <w:r>
        <w:rPr>
          <w:i/>
          <w:sz w:val="22"/>
        </w:rPr>
        <w:t>Djimini</w:t>
      </w:r>
      <w:r>
        <w:rPr>
          <w:i/>
          <w:spacing w:val="71"/>
          <w:sz w:val="22"/>
        </w:rPr>
        <w:t> </w:t>
      </w:r>
      <w:r>
        <w:rPr>
          <w:i/>
          <w:sz w:val="22"/>
        </w:rPr>
        <w:t>les Mangoroetles Lobi ;</w:t>
      </w:r>
    </w:p>
    <w:p>
      <w:pPr>
        <w:spacing w:before="1"/>
        <w:ind w:left="1851" w:right="0" w:firstLine="0"/>
        <w:jc w:val="left"/>
        <w:rPr>
          <w:i/>
          <w:sz w:val="22"/>
        </w:rPr>
      </w:pPr>
      <w:r>
        <w:rPr>
          <w:i/>
          <w:sz w:val="22"/>
        </w:rPr>
        <w:t>-Les</w:t>
      </w:r>
      <w:r>
        <w:rPr>
          <w:i/>
          <w:spacing w:val="73"/>
          <w:sz w:val="22"/>
        </w:rPr>
        <w:t> </w:t>
      </w:r>
      <w:r>
        <w:rPr>
          <w:i/>
          <w:sz w:val="22"/>
        </w:rPr>
        <w:t>Néyo,</w:t>
      </w:r>
      <w:r>
        <w:rPr>
          <w:i/>
          <w:spacing w:val="71"/>
          <w:sz w:val="22"/>
        </w:rPr>
        <w:t> </w:t>
      </w:r>
      <w:r>
        <w:rPr>
          <w:i/>
          <w:sz w:val="22"/>
        </w:rPr>
        <w:t>les</w:t>
      </w:r>
      <w:r>
        <w:rPr>
          <w:i/>
          <w:spacing w:val="75"/>
          <w:sz w:val="22"/>
        </w:rPr>
        <w:t> </w:t>
      </w:r>
      <w:r>
        <w:rPr>
          <w:i/>
          <w:sz w:val="22"/>
        </w:rPr>
        <w:t>Godié,</w:t>
      </w:r>
      <w:r>
        <w:rPr>
          <w:i/>
          <w:spacing w:val="73"/>
          <w:sz w:val="22"/>
        </w:rPr>
        <w:t> </w:t>
      </w:r>
      <w:r>
        <w:rPr>
          <w:i/>
          <w:sz w:val="22"/>
        </w:rPr>
        <w:t>les</w:t>
      </w:r>
      <w:r>
        <w:rPr>
          <w:i/>
          <w:spacing w:val="73"/>
          <w:sz w:val="22"/>
        </w:rPr>
        <w:t> </w:t>
      </w:r>
      <w:r>
        <w:rPr>
          <w:i/>
          <w:sz w:val="22"/>
        </w:rPr>
        <w:t>Dida,</w:t>
      </w:r>
      <w:r>
        <w:rPr>
          <w:i/>
          <w:spacing w:val="73"/>
          <w:sz w:val="22"/>
        </w:rPr>
        <w:t> </w:t>
      </w:r>
      <w:r>
        <w:rPr>
          <w:i/>
          <w:sz w:val="22"/>
        </w:rPr>
        <w:t>les</w:t>
      </w:r>
      <w:r>
        <w:rPr>
          <w:i/>
          <w:spacing w:val="73"/>
          <w:sz w:val="22"/>
        </w:rPr>
        <w:t> </w:t>
      </w:r>
      <w:r>
        <w:rPr>
          <w:i/>
          <w:sz w:val="22"/>
        </w:rPr>
        <w:t>Lodjougrou,</w:t>
      </w:r>
      <w:r>
        <w:rPr>
          <w:i/>
          <w:spacing w:val="71"/>
          <w:sz w:val="22"/>
        </w:rPr>
        <w:t> </w:t>
      </w:r>
      <w:r>
        <w:rPr>
          <w:i/>
          <w:sz w:val="22"/>
        </w:rPr>
        <w:t>les</w:t>
      </w:r>
      <w:r>
        <w:rPr>
          <w:i/>
          <w:spacing w:val="73"/>
          <w:sz w:val="22"/>
        </w:rPr>
        <w:t> </w:t>
      </w:r>
      <w:r>
        <w:rPr>
          <w:i/>
          <w:sz w:val="22"/>
        </w:rPr>
        <w:t>Abidji,</w:t>
      </w:r>
      <w:r>
        <w:rPr>
          <w:i/>
          <w:spacing w:val="73"/>
          <w:sz w:val="22"/>
        </w:rPr>
        <w:t> </w:t>
      </w:r>
      <w:r>
        <w:rPr>
          <w:i/>
          <w:sz w:val="22"/>
        </w:rPr>
        <w:t>les</w:t>
      </w:r>
      <w:r>
        <w:rPr>
          <w:i/>
          <w:spacing w:val="73"/>
          <w:sz w:val="22"/>
        </w:rPr>
        <w:t> </w:t>
      </w:r>
      <w:r>
        <w:rPr>
          <w:i/>
          <w:sz w:val="22"/>
        </w:rPr>
        <w:t>Aladjan,</w:t>
      </w:r>
      <w:r>
        <w:rPr>
          <w:i/>
          <w:spacing w:val="73"/>
          <w:sz w:val="22"/>
        </w:rPr>
        <w:t> </w:t>
      </w:r>
      <w:r>
        <w:rPr>
          <w:i/>
          <w:sz w:val="22"/>
        </w:rPr>
        <w:t>lesEbrié (tchaaman),les Abouré ;</w:t>
      </w:r>
    </w:p>
    <w:p>
      <w:pPr>
        <w:spacing w:line="252" w:lineRule="exact" w:before="0"/>
        <w:ind w:left="1851" w:right="0" w:firstLine="0"/>
        <w:jc w:val="left"/>
        <w:rPr>
          <w:i/>
          <w:sz w:val="22"/>
        </w:rPr>
      </w:pPr>
      <w:r>
        <w:rPr>
          <w:i/>
          <w:sz w:val="22"/>
        </w:rPr>
        <w:t>-Les</w:t>
      </w:r>
      <w:r>
        <w:rPr>
          <w:i/>
          <w:spacing w:val="-2"/>
          <w:sz w:val="22"/>
        </w:rPr>
        <w:t> </w:t>
      </w:r>
      <w:r>
        <w:rPr>
          <w:i/>
          <w:sz w:val="22"/>
        </w:rPr>
        <w:t>Kroumen,</w:t>
      </w:r>
      <w:r>
        <w:rPr>
          <w:i/>
          <w:spacing w:val="-3"/>
          <w:sz w:val="22"/>
        </w:rPr>
        <w:t> </w:t>
      </w:r>
      <w:r>
        <w:rPr>
          <w:i/>
          <w:sz w:val="22"/>
        </w:rPr>
        <w:t>les</w:t>
      </w:r>
      <w:r>
        <w:rPr>
          <w:i/>
          <w:spacing w:val="-1"/>
          <w:sz w:val="22"/>
        </w:rPr>
        <w:t> </w:t>
      </w:r>
      <w:r>
        <w:rPr>
          <w:i/>
          <w:sz w:val="22"/>
        </w:rPr>
        <w:t>Néyo,</w:t>
      </w:r>
      <w:r>
        <w:rPr>
          <w:i/>
          <w:spacing w:val="-3"/>
          <w:sz w:val="22"/>
        </w:rPr>
        <w:t> </w:t>
      </w:r>
      <w:r>
        <w:rPr>
          <w:i/>
          <w:sz w:val="22"/>
        </w:rPr>
        <w:t>les</w:t>
      </w:r>
      <w:r>
        <w:rPr>
          <w:i/>
          <w:spacing w:val="-1"/>
          <w:sz w:val="22"/>
        </w:rPr>
        <w:t> </w:t>
      </w:r>
      <w:r>
        <w:rPr>
          <w:i/>
          <w:sz w:val="22"/>
        </w:rPr>
        <w:t>Godié,</w:t>
      </w:r>
      <w:r>
        <w:rPr>
          <w:i/>
          <w:spacing w:val="-3"/>
          <w:sz w:val="22"/>
        </w:rPr>
        <w:t> </w:t>
      </w:r>
      <w:r>
        <w:rPr>
          <w:i/>
          <w:sz w:val="22"/>
        </w:rPr>
        <w:t>les</w:t>
      </w:r>
      <w:r>
        <w:rPr>
          <w:i/>
          <w:spacing w:val="-3"/>
          <w:sz w:val="22"/>
        </w:rPr>
        <w:t> </w:t>
      </w:r>
      <w:r>
        <w:rPr>
          <w:i/>
          <w:sz w:val="22"/>
        </w:rPr>
        <w:t>Abbey</w:t>
      </w:r>
      <w:r>
        <w:rPr>
          <w:i/>
          <w:spacing w:val="-3"/>
          <w:sz w:val="22"/>
        </w:rPr>
        <w:t> </w:t>
      </w:r>
      <w:r>
        <w:rPr>
          <w:i/>
          <w:sz w:val="22"/>
        </w:rPr>
        <w:t>et</w:t>
      </w:r>
      <w:r>
        <w:rPr>
          <w:i/>
          <w:spacing w:val="-1"/>
          <w:sz w:val="22"/>
        </w:rPr>
        <w:t> </w:t>
      </w:r>
      <w:r>
        <w:rPr>
          <w:i/>
          <w:sz w:val="22"/>
        </w:rPr>
        <w:t>les</w:t>
      </w:r>
      <w:r>
        <w:rPr>
          <w:i/>
          <w:spacing w:val="-1"/>
          <w:sz w:val="22"/>
        </w:rPr>
        <w:t> </w:t>
      </w:r>
      <w:r>
        <w:rPr>
          <w:i/>
          <w:sz w:val="22"/>
        </w:rPr>
        <w:t>Akyé</w:t>
      </w:r>
      <w:r>
        <w:rPr>
          <w:i/>
          <w:spacing w:val="-1"/>
          <w:sz w:val="22"/>
        </w:rPr>
        <w:t> </w:t>
      </w:r>
      <w:r>
        <w:rPr>
          <w:i/>
          <w:spacing w:val="-10"/>
          <w:sz w:val="22"/>
        </w:rPr>
        <w:t>;</w:t>
      </w:r>
    </w:p>
    <w:p>
      <w:pPr>
        <w:spacing w:line="252" w:lineRule="exact" w:before="0"/>
        <w:ind w:left="1851" w:right="0" w:firstLine="0"/>
        <w:jc w:val="left"/>
        <w:rPr>
          <w:i/>
          <w:sz w:val="22"/>
        </w:rPr>
      </w:pPr>
      <w:r>
        <w:rPr>
          <w:i/>
          <w:sz w:val="22"/>
        </w:rPr>
        <w:t>-Les</w:t>
      </w:r>
      <w:r>
        <w:rPr>
          <w:i/>
          <w:spacing w:val="-2"/>
          <w:sz w:val="22"/>
        </w:rPr>
        <w:t> </w:t>
      </w:r>
      <w:r>
        <w:rPr>
          <w:i/>
          <w:sz w:val="22"/>
        </w:rPr>
        <w:t>Abron,</w:t>
      </w:r>
      <w:r>
        <w:rPr>
          <w:i/>
          <w:spacing w:val="-3"/>
          <w:sz w:val="22"/>
        </w:rPr>
        <w:t> </w:t>
      </w:r>
      <w:r>
        <w:rPr>
          <w:i/>
          <w:sz w:val="22"/>
        </w:rPr>
        <w:t>les</w:t>
      </w:r>
      <w:r>
        <w:rPr>
          <w:i/>
          <w:spacing w:val="-2"/>
          <w:sz w:val="22"/>
        </w:rPr>
        <w:t> </w:t>
      </w:r>
      <w:r>
        <w:rPr>
          <w:i/>
          <w:sz w:val="22"/>
        </w:rPr>
        <w:t>Agni,</w:t>
      </w:r>
      <w:r>
        <w:rPr>
          <w:i/>
          <w:spacing w:val="-3"/>
          <w:sz w:val="22"/>
        </w:rPr>
        <w:t> </w:t>
      </w:r>
      <w:r>
        <w:rPr>
          <w:i/>
          <w:sz w:val="22"/>
        </w:rPr>
        <w:t>les</w:t>
      </w:r>
      <w:r>
        <w:rPr>
          <w:i/>
          <w:spacing w:val="-2"/>
          <w:sz w:val="22"/>
        </w:rPr>
        <w:t> </w:t>
      </w:r>
      <w:r>
        <w:rPr>
          <w:i/>
          <w:sz w:val="22"/>
        </w:rPr>
        <w:t>Apolonien,</w:t>
      </w:r>
      <w:r>
        <w:rPr>
          <w:i/>
          <w:spacing w:val="-3"/>
          <w:sz w:val="22"/>
        </w:rPr>
        <w:t> </w:t>
      </w:r>
      <w:r>
        <w:rPr>
          <w:i/>
          <w:sz w:val="22"/>
        </w:rPr>
        <w:t>les</w:t>
      </w:r>
      <w:r>
        <w:rPr>
          <w:i/>
          <w:spacing w:val="-1"/>
          <w:sz w:val="22"/>
        </w:rPr>
        <w:t> </w:t>
      </w:r>
      <w:r>
        <w:rPr>
          <w:i/>
          <w:spacing w:val="-2"/>
          <w:sz w:val="22"/>
        </w:rPr>
        <w:t>Baoulé.</w:t>
      </w:r>
    </w:p>
    <w:p>
      <w:pPr>
        <w:pStyle w:val="BodyText"/>
        <w:spacing w:line="276" w:lineRule="auto" w:before="122"/>
        <w:ind w:right="1155"/>
        <w:jc w:val="both"/>
      </w:pPr>
      <w:r>
        <w:rPr/>
        <w:t>Pour revenir au vocable sanankounya, il faut noter que c’est un mot composé des nominaux sinan, koun et ya. Ce découpage rejoint celui de Kouyaté (2009, p. 102) qui en donne les significations suivantes :</w:t>
      </w:r>
    </w:p>
    <w:p>
      <w:pPr>
        <w:spacing w:before="118"/>
        <w:ind w:left="1851" w:right="0" w:firstLine="0"/>
        <w:jc w:val="left"/>
        <w:rPr>
          <w:i/>
          <w:sz w:val="22"/>
        </w:rPr>
      </w:pPr>
      <w:r>
        <w:rPr>
          <w:i/>
          <w:sz w:val="22"/>
        </w:rPr>
        <w:t>«</w:t>
      </w:r>
      <w:r>
        <w:rPr>
          <w:i/>
          <w:spacing w:val="-3"/>
          <w:sz w:val="22"/>
        </w:rPr>
        <w:t> </w:t>
      </w:r>
      <w:r>
        <w:rPr>
          <w:i/>
          <w:sz w:val="22"/>
        </w:rPr>
        <w:t>’</w:t>
      </w:r>
      <w:r>
        <w:rPr>
          <w:i/>
          <w:spacing w:val="-1"/>
          <w:sz w:val="22"/>
        </w:rPr>
        <w:t> </w:t>
      </w:r>
      <w:r>
        <w:rPr>
          <w:i/>
          <w:sz w:val="22"/>
        </w:rPr>
        <w:t>Sina»’=</w:t>
      </w:r>
      <w:r>
        <w:rPr>
          <w:i/>
          <w:spacing w:val="-2"/>
          <w:sz w:val="22"/>
        </w:rPr>
        <w:t> </w:t>
      </w:r>
      <w:r>
        <w:rPr>
          <w:i/>
          <w:sz w:val="22"/>
        </w:rPr>
        <w:t>rival,</w:t>
      </w:r>
      <w:r>
        <w:rPr>
          <w:i/>
          <w:spacing w:val="-2"/>
          <w:sz w:val="22"/>
        </w:rPr>
        <w:t> antagoniste</w:t>
      </w:r>
    </w:p>
    <w:p>
      <w:pPr>
        <w:spacing w:line="252" w:lineRule="exact" w:before="1"/>
        <w:ind w:left="1851" w:right="0" w:firstLine="0"/>
        <w:jc w:val="left"/>
        <w:rPr>
          <w:i/>
          <w:sz w:val="22"/>
        </w:rPr>
      </w:pPr>
      <w:r>
        <w:rPr>
          <w:i/>
          <w:sz w:val="22"/>
        </w:rPr>
        <w:t>«</w:t>
      </w:r>
      <w:r>
        <w:rPr>
          <w:i/>
          <w:spacing w:val="-3"/>
          <w:sz w:val="22"/>
        </w:rPr>
        <w:t> </w:t>
      </w:r>
      <w:r>
        <w:rPr>
          <w:i/>
          <w:sz w:val="22"/>
        </w:rPr>
        <w:t>’</w:t>
      </w:r>
      <w:r>
        <w:rPr>
          <w:i/>
          <w:spacing w:val="-1"/>
          <w:sz w:val="22"/>
        </w:rPr>
        <w:t> </w:t>
      </w:r>
      <w:r>
        <w:rPr>
          <w:i/>
          <w:sz w:val="22"/>
        </w:rPr>
        <w:t>Koun»’</w:t>
      </w:r>
      <w:r>
        <w:rPr>
          <w:i/>
          <w:spacing w:val="-1"/>
          <w:sz w:val="22"/>
        </w:rPr>
        <w:t> </w:t>
      </w:r>
      <w:r>
        <w:rPr>
          <w:i/>
          <w:sz w:val="22"/>
        </w:rPr>
        <w:t>=</w:t>
      </w:r>
      <w:r>
        <w:rPr>
          <w:i/>
          <w:spacing w:val="-2"/>
          <w:sz w:val="22"/>
        </w:rPr>
        <w:t> </w:t>
      </w:r>
      <w:r>
        <w:rPr>
          <w:i/>
          <w:sz w:val="22"/>
        </w:rPr>
        <w:t>vivre</w:t>
      </w:r>
      <w:r>
        <w:rPr>
          <w:i/>
          <w:spacing w:val="-2"/>
          <w:sz w:val="22"/>
        </w:rPr>
        <w:t> </w:t>
      </w:r>
      <w:r>
        <w:rPr>
          <w:i/>
          <w:sz w:val="22"/>
        </w:rPr>
        <w:t>ensemble</w:t>
      </w:r>
      <w:r>
        <w:rPr>
          <w:i/>
          <w:spacing w:val="-2"/>
          <w:sz w:val="22"/>
        </w:rPr>
        <w:t> </w:t>
      </w:r>
      <w:r>
        <w:rPr>
          <w:i/>
          <w:sz w:val="22"/>
        </w:rPr>
        <w:t>dans</w:t>
      </w:r>
      <w:r>
        <w:rPr>
          <w:i/>
          <w:spacing w:val="-4"/>
          <w:sz w:val="22"/>
        </w:rPr>
        <w:t> </w:t>
      </w:r>
      <w:r>
        <w:rPr>
          <w:i/>
          <w:sz w:val="22"/>
        </w:rPr>
        <w:t>l’entente,</w:t>
      </w:r>
      <w:r>
        <w:rPr>
          <w:i/>
          <w:spacing w:val="-2"/>
          <w:sz w:val="22"/>
        </w:rPr>
        <w:t> </w:t>
      </w:r>
      <w:r>
        <w:rPr>
          <w:i/>
          <w:sz w:val="22"/>
        </w:rPr>
        <w:t>la</w:t>
      </w:r>
      <w:r>
        <w:rPr>
          <w:i/>
          <w:spacing w:val="-4"/>
          <w:sz w:val="22"/>
        </w:rPr>
        <w:t> </w:t>
      </w:r>
      <w:r>
        <w:rPr>
          <w:i/>
          <w:spacing w:val="-2"/>
          <w:sz w:val="22"/>
        </w:rPr>
        <w:t>symbiose</w:t>
      </w:r>
    </w:p>
    <w:p>
      <w:pPr>
        <w:spacing w:line="252" w:lineRule="exact" w:before="0"/>
        <w:ind w:left="1851" w:right="0" w:firstLine="0"/>
        <w:jc w:val="left"/>
        <w:rPr>
          <w:i/>
          <w:sz w:val="22"/>
        </w:rPr>
      </w:pPr>
      <w:r>
        <w:rPr>
          <w:i/>
          <w:sz w:val="22"/>
        </w:rPr>
        <w:t>«</w:t>
      </w:r>
      <w:r>
        <w:rPr>
          <w:i/>
          <w:spacing w:val="-1"/>
          <w:sz w:val="22"/>
        </w:rPr>
        <w:t> </w:t>
      </w:r>
      <w:r>
        <w:rPr>
          <w:i/>
          <w:sz w:val="22"/>
        </w:rPr>
        <w:t>’</w:t>
      </w:r>
      <w:r>
        <w:rPr>
          <w:i/>
          <w:spacing w:val="-2"/>
          <w:sz w:val="22"/>
        </w:rPr>
        <w:t> </w:t>
      </w:r>
      <w:r>
        <w:rPr>
          <w:i/>
          <w:sz w:val="22"/>
        </w:rPr>
        <w:t>Ya</w:t>
      </w:r>
      <w:r>
        <w:rPr>
          <w:i/>
          <w:spacing w:val="2"/>
          <w:sz w:val="22"/>
        </w:rPr>
        <w:t> </w:t>
      </w:r>
      <w:r>
        <w:rPr>
          <w:i/>
          <w:sz w:val="22"/>
        </w:rPr>
        <w:t>“’=</w:t>
      </w:r>
      <w:r>
        <w:rPr>
          <w:i/>
          <w:spacing w:val="-3"/>
          <w:sz w:val="22"/>
        </w:rPr>
        <w:t> </w:t>
      </w:r>
      <w:r>
        <w:rPr>
          <w:i/>
          <w:sz w:val="22"/>
        </w:rPr>
        <w:t>état,</w:t>
      </w:r>
      <w:r>
        <w:rPr>
          <w:i/>
          <w:spacing w:val="-2"/>
          <w:sz w:val="22"/>
        </w:rPr>
        <w:t> stade.</w:t>
      </w:r>
    </w:p>
    <w:p>
      <w:pPr>
        <w:pStyle w:val="BodyText"/>
        <w:spacing w:line="276" w:lineRule="auto" w:before="127"/>
        <w:ind w:right="1152"/>
        <w:jc w:val="both"/>
        <w:rPr>
          <w:rFonts w:ascii="Calibri" w:hAnsi="Calibri"/>
        </w:rPr>
      </w:pPr>
      <w:r>
        <w:rPr>
          <w:rFonts w:ascii="Calibri" w:hAnsi="Calibri"/>
        </w:rPr>
        <w:t>Mais il importe d’explorer le champ sémantique de l’unité lexicale koun qui revêt également le sens de contenir, de dépassement, etc. Dans ce cas, sanankounya est une formation complexe, transformation de sanan-ya-koun, c’est-à-dire contenir la rivalité, faire preuve de dépassement et de tolérance ; puis, par effet de métathèse de la particule ya, on obtient sanankounya rendu par le bambara sanankutlo (plaisanterie de la rivalité apaisée).</w:t>
      </w:r>
    </w:p>
    <w:p>
      <w:pPr>
        <w:pStyle w:val="BodyText"/>
        <w:spacing w:line="276" w:lineRule="auto" w:before="116"/>
        <w:ind w:right="1152"/>
        <w:jc w:val="both"/>
      </w:pPr>
      <w:r>
        <w:rPr/>
        <w:t>Dès</w:t>
      </w:r>
      <w:r>
        <w:rPr>
          <w:spacing w:val="-2"/>
        </w:rPr>
        <w:t> </w:t>
      </w:r>
      <w:r>
        <w:rPr/>
        <w:t>lors, à l’origine,</w:t>
      </w:r>
      <w:r>
        <w:rPr>
          <w:spacing w:val="-2"/>
        </w:rPr>
        <w:t> </w:t>
      </w:r>
      <w:r>
        <w:rPr/>
        <w:t>les sanankoun étaient supposés être</w:t>
      </w:r>
      <w:r>
        <w:rPr>
          <w:spacing w:val="-2"/>
        </w:rPr>
        <w:t> </w:t>
      </w:r>
      <w:r>
        <w:rPr/>
        <w:t>des sinan, des rivaux</w:t>
      </w:r>
      <w:r>
        <w:rPr>
          <w:vertAlign w:val="superscript"/>
        </w:rPr>
        <w:t>3</w:t>
      </w:r>
      <w:r>
        <w:rPr>
          <w:vertAlign w:val="baseline"/>
        </w:rPr>
        <w:t>. La relation de sanankounya permet de dépasser, d’atténuer, pour le moins, cette ‘rivalité aux couteaux’ pour entretenir désormais des rapports sociaux détendus, ludiques où tout passe la raillerie puisque ce sont la concession, le pardon et la tolérance qui prévalent désormais.La singularité du phénomène anthropologique du sanankounya réside en le fait qu’il est à la fois parenté à plaisanterie, parenté plaisante, cousinage à plaisanterie, fratrie à plaisanterie, alliance interethnique,</w:t>
      </w:r>
      <w:r>
        <w:rPr>
          <w:spacing w:val="-3"/>
          <w:vertAlign w:val="baseline"/>
        </w:rPr>
        <w:t> </w:t>
      </w:r>
      <w:r>
        <w:rPr>
          <w:vertAlign w:val="baseline"/>
        </w:rPr>
        <w:t>alliance</w:t>
      </w:r>
      <w:r>
        <w:rPr>
          <w:spacing w:val="-1"/>
          <w:vertAlign w:val="baseline"/>
        </w:rPr>
        <w:t> </w:t>
      </w:r>
      <w:r>
        <w:rPr>
          <w:vertAlign w:val="baseline"/>
        </w:rPr>
        <w:t>interclanique,</w:t>
      </w:r>
      <w:r>
        <w:rPr>
          <w:spacing w:val="-3"/>
          <w:vertAlign w:val="baseline"/>
        </w:rPr>
        <w:t> </w:t>
      </w:r>
      <w:r>
        <w:rPr>
          <w:vertAlign w:val="baseline"/>
        </w:rPr>
        <w:t>sans</w:t>
      </w:r>
      <w:r>
        <w:rPr>
          <w:spacing w:val="-1"/>
          <w:vertAlign w:val="baseline"/>
        </w:rPr>
        <w:t> </w:t>
      </w:r>
      <w:r>
        <w:rPr>
          <w:vertAlign w:val="baseline"/>
        </w:rPr>
        <w:t>être</w:t>
      </w:r>
      <w:r>
        <w:rPr>
          <w:spacing w:val="-3"/>
          <w:vertAlign w:val="baseline"/>
        </w:rPr>
        <w:t> </w:t>
      </w:r>
      <w:r>
        <w:rPr>
          <w:vertAlign w:val="baseline"/>
        </w:rPr>
        <w:t>une seule</w:t>
      </w:r>
      <w:r>
        <w:rPr>
          <w:spacing w:val="-3"/>
          <w:vertAlign w:val="baseline"/>
        </w:rPr>
        <w:t> </w:t>
      </w:r>
      <w:r>
        <w:rPr>
          <w:vertAlign w:val="baseline"/>
        </w:rPr>
        <w:t>de</w:t>
      </w:r>
      <w:r>
        <w:rPr>
          <w:spacing w:val="-1"/>
          <w:vertAlign w:val="baseline"/>
        </w:rPr>
        <w:t> </w:t>
      </w:r>
      <w:r>
        <w:rPr>
          <w:vertAlign w:val="baseline"/>
        </w:rPr>
        <w:t>ces</w:t>
      </w:r>
      <w:r>
        <w:rPr>
          <w:spacing w:val="-1"/>
          <w:vertAlign w:val="baseline"/>
        </w:rPr>
        <w:t> </w:t>
      </w:r>
      <w:r>
        <w:rPr>
          <w:vertAlign w:val="baseline"/>
        </w:rPr>
        <w:t>notions.</w:t>
      </w:r>
      <w:r>
        <w:rPr>
          <w:spacing w:val="-1"/>
          <w:vertAlign w:val="baseline"/>
        </w:rPr>
        <w:t> </w:t>
      </w:r>
      <w:r>
        <w:rPr>
          <w:vertAlign w:val="baseline"/>
        </w:rPr>
        <w:t>Cette</w:t>
      </w:r>
      <w:r>
        <w:rPr>
          <w:spacing w:val="-1"/>
          <w:vertAlign w:val="baseline"/>
        </w:rPr>
        <w:t> </w:t>
      </w:r>
      <w:r>
        <w:rPr>
          <w:vertAlign w:val="baseline"/>
        </w:rPr>
        <w:t>polysémie cause une</w:t>
      </w:r>
      <w:r>
        <w:rPr>
          <w:spacing w:val="55"/>
          <w:w w:val="150"/>
          <w:vertAlign w:val="baseline"/>
        </w:rPr>
        <w:t>  </w:t>
      </w:r>
      <w:r>
        <w:rPr>
          <w:vertAlign w:val="baseline"/>
        </w:rPr>
        <w:t>réelle</w:t>
      </w:r>
      <w:r>
        <w:rPr>
          <w:spacing w:val="56"/>
          <w:w w:val="150"/>
          <w:vertAlign w:val="baseline"/>
        </w:rPr>
        <w:t>  </w:t>
      </w:r>
      <w:r>
        <w:rPr>
          <w:vertAlign w:val="baseline"/>
        </w:rPr>
        <w:t>difficulté</w:t>
      </w:r>
      <w:r>
        <w:rPr>
          <w:spacing w:val="58"/>
          <w:w w:val="150"/>
          <w:vertAlign w:val="baseline"/>
        </w:rPr>
        <w:t>  </w:t>
      </w:r>
      <w:r>
        <w:rPr>
          <w:vertAlign w:val="baseline"/>
        </w:rPr>
        <w:t>à</w:t>
      </w:r>
      <w:r>
        <w:rPr>
          <w:spacing w:val="55"/>
          <w:w w:val="150"/>
          <w:vertAlign w:val="baseline"/>
        </w:rPr>
        <w:t>   </w:t>
      </w:r>
      <w:r>
        <w:rPr>
          <w:vertAlign w:val="baseline"/>
        </w:rPr>
        <w:t>traduire</w:t>
      </w:r>
      <w:r>
        <w:rPr>
          <w:spacing w:val="57"/>
          <w:w w:val="150"/>
          <w:vertAlign w:val="baseline"/>
        </w:rPr>
        <w:t>  </w:t>
      </w:r>
      <w:r>
        <w:rPr>
          <w:vertAlign w:val="baseline"/>
        </w:rPr>
        <w:t>fidèlement</w:t>
      </w:r>
      <w:r>
        <w:rPr>
          <w:spacing w:val="56"/>
          <w:w w:val="150"/>
          <w:vertAlign w:val="baseline"/>
        </w:rPr>
        <w:t>  </w:t>
      </w:r>
      <w:r>
        <w:rPr>
          <w:vertAlign w:val="baseline"/>
        </w:rPr>
        <w:t>ce</w:t>
      </w:r>
      <w:r>
        <w:rPr>
          <w:spacing w:val="56"/>
          <w:w w:val="150"/>
          <w:vertAlign w:val="baseline"/>
        </w:rPr>
        <w:t>  </w:t>
      </w:r>
      <w:r>
        <w:rPr>
          <w:vertAlign w:val="baseline"/>
        </w:rPr>
        <w:t>concept</w:t>
      </w:r>
      <w:r>
        <w:rPr>
          <w:spacing w:val="57"/>
          <w:w w:val="150"/>
          <w:vertAlign w:val="baseline"/>
        </w:rPr>
        <w:t>  </w:t>
      </w:r>
      <w:r>
        <w:rPr>
          <w:vertAlign w:val="baseline"/>
        </w:rPr>
        <w:t>en</w:t>
      </w:r>
      <w:r>
        <w:rPr>
          <w:spacing w:val="56"/>
          <w:w w:val="150"/>
          <w:vertAlign w:val="baseline"/>
        </w:rPr>
        <w:t>  </w:t>
      </w:r>
      <w:r>
        <w:rPr>
          <w:vertAlign w:val="baseline"/>
        </w:rPr>
        <w:t>français.</w:t>
      </w:r>
      <w:r>
        <w:rPr>
          <w:spacing w:val="58"/>
          <w:w w:val="150"/>
          <w:vertAlign w:val="baseline"/>
        </w:rPr>
        <w:t>  </w:t>
      </w:r>
      <w:r>
        <w:rPr>
          <w:spacing w:val="-5"/>
          <w:vertAlign w:val="baseline"/>
        </w:rPr>
        <w:t>Les</w:t>
      </w:r>
    </w:p>
    <w:p>
      <w:pPr>
        <w:pStyle w:val="BodyText"/>
        <w:ind w:left="0"/>
        <w:rPr>
          <w:sz w:val="20"/>
        </w:rPr>
      </w:pPr>
    </w:p>
    <w:p>
      <w:pPr>
        <w:pStyle w:val="BodyText"/>
        <w:spacing w:before="162"/>
        <w:ind w:left="0"/>
        <w:rPr>
          <w:sz w:val="20"/>
        </w:rPr>
      </w:pPr>
      <w:r>
        <w:rPr/>
        <mc:AlternateContent>
          <mc:Choice Requires="wps">
            <w:drawing>
              <wp:anchor distT="0" distB="0" distL="0" distR="0" allowOverlap="1" layoutInCell="1" locked="0" behindDoc="1" simplePos="0" relativeHeight="487589888">
                <wp:simplePos x="0" y="0"/>
                <wp:positionH relativeFrom="page">
                  <wp:posOffset>900683</wp:posOffset>
                </wp:positionH>
                <wp:positionV relativeFrom="paragraph">
                  <wp:posOffset>264495</wp:posOffset>
                </wp:positionV>
                <wp:extent cx="1828800" cy="9525"/>
                <wp:effectExtent l="0" t="0" r="0" b="0"/>
                <wp:wrapTopAndBottom/>
                <wp:docPr id="11" name="Graphic 11"/>
                <wp:cNvGraphicFramePr>
                  <a:graphicFrameLocks/>
                </wp:cNvGraphicFramePr>
                <a:graphic>
                  <a:graphicData uri="http://schemas.microsoft.com/office/word/2010/wordprocessingShape">
                    <wps:wsp>
                      <wps:cNvPr id="11" name="Graphic 11"/>
                      <wps:cNvSpPr/>
                      <wps:spPr>
                        <a:xfrm>
                          <a:off x="0" y="0"/>
                          <a:ext cx="1828800" cy="9525"/>
                        </a:xfrm>
                        <a:custGeom>
                          <a:avLst/>
                          <a:gdLst/>
                          <a:ahLst/>
                          <a:cxnLst/>
                          <a:rect l="l" t="t" r="r" b="b"/>
                          <a:pathLst>
                            <a:path w="1828800" h="9525">
                              <a:moveTo>
                                <a:pt x="1828800" y="9144"/>
                              </a:moveTo>
                              <a:lnTo>
                                <a:pt x="0" y="9144"/>
                              </a:lnTo>
                              <a:lnTo>
                                <a:pt x="0" y="0"/>
                              </a:lnTo>
                              <a:lnTo>
                                <a:pt x="1828800" y="0"/>
                              </a:lnTo>
                              <a:lnTo>
                                <a:pt x="1828800" y="9144"/>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70.919998pt;margin-top:20.826397pt;width:144.0pt;height:.720016pt;mso-position-horizontal-relative:page;mso-position-vertical-relative:paragraph;z-index:-15726592;mso-wrap-distance-left:0;mso-wrap-distance-right:0" id="docshape9" filled="true" fillcolor="#000000" stroked="false">
                <v:fill type="solid"/>
                <w10:wrap type="topAndBottom"/>
              </v:rect>
            </w:pict>
          </mc:Fallback>
        </mc:AlternateContent>
      </w:r>
    </w:p>
    <w:p>
      <w:pPr>
        <w:spacing w:before="115"/>
        <w:ind w:left="718" w:right="0" w:firstLine="0"/>
        <w:jc w:val="left"/>
        <w:rPr>
          <w:sz w:val="20"/>
        </w:rPr>
      </w:pPr>
      <w:r>
        <w:rPr>
          <w:sz w:val="20"/>
          <w:vertAlign w:val="superscript"/>
        </w:rPr>
        <w:t>3</w:t>
      </w:r>
      <w:r>
        <w:rPr>
          <w:spacing w:val="-4"/>
          <w:sz w:val="20"/>
          <w:vertAlign w:val="baseline"/>
        </w:rPr>
        <w:t> </w:t>
      </w:r>
      <w:r>
        <w:rPr>
          <w:sz w:val="20"/>
          <w:vertAlign w:val="baseline"/>
        </w:rPr>
        <w:t>On</w:t>
      </w:r>
      <w:r>
        <w:rPr>
          <w:spacing w:val="-5"/>
          <w:sz w:val="20"/>
          <w:vertAlign w:val="baseline"/>
        </w:rPr>
        <w:t> </w:t>
      </w:r>
      <w:r>
        <w:rPr>
          <w:sz w:val="20"/>
          <w:vertAlign w:val="baseline"/>
        </w:rPr>
        <w:t>retrouve</w:t>
      </w:r>
      <w:r>
        <w:rPr>
          <w:spacing w:val="-2"/>
          <w:sz w:val="20"/>
          <w:vertAlign w:val="baseline"/>
        </w:rPr>
        <w:t> </w:t>
      </w:r>
      <w:r>
        <w:rPr>
          <w:sz w:val="20"/>
          <w:vertAlign w:val="baseline"/>
        </w:rPr>
        <w:t>ce</w:t>
      </w:r>
      <w:r>
        <w:rPr>
          <w:spacing w:val="-3"/>
          <w:sz w:val="20"/>
          <w:vertAlign w:val="baseline"/>
        </w:rPr>
        <w:t> </w:t>
      </w:r>
      <w:r>
        <w:rPr>
          <w:sz w:val="20"/>
          <w:vertAlign w:val="baseline"/>
        </w:rPr>
        <w:t>sens</w:t>
      </w:r>
      <w:r>
        <w:rPr>
          <w:spacing w:val="-3"/>
          <w:sz w:val="20"/>
          <w:vertAlign w:val="baseline"/>
        </w:rPr>
        <w:t> </w:t>
      </w:r>
      <w:r>
        <w:rPr>
          <w:sz w:val="20"/>
          <w:vertAlign w:val="baseline"/>
        </w:rPr>
        <w:t>dans</w:t>
      </w:r>
      <w:r>
        <w:rPr>
          <w:spacing w:val="-4"/>
          <w:sz w:val="20"/>
          <w:vertAlign w:val="baseline"/>
        </w:rPr>
        <w:t> </w:t>
      </w:r>
      <w:r>
        <w:rPr>
          <w:i/>
          <w:sz w:val="20"/>
          <w:vertAlign w:val="baseline"/>
        </w:rPr>
        <w:t>sinon</w:t>
      </w:r>
      <w:r>
        <w:rPr>
          <w:i/>
          <w:spacing w:val="-1"/>
          <w:sz w:val="20"/>
          <w:vertAlign w:val="baseline"/>
        </w:rPr>
        <w:t> </w:t>
      </w:r>
      <w:r>
        <w:rPr>
          <w:i/>
          <w:sz w:val="20"/>
          <w:vertAlign w:val="baseline"/>
        </w:rPr>
        <w:t>mousso</w:t>
      </w:r>
      <w:r>
        <w:rPr>
          <w:sz w:val="20"/>
          <w:vertAlign w:val="baseline"/>
        </w:rPr>
        <w:t>ou</w:t>
      </w:r>
      <w:r>
        <w:rPr>
          <w:spacing w:val="-5"/>
          <w:sz w:val="20"/>
          <w:vertAlign w:val="baseline"/>
        </w:rPr>
        <w:t> </w:t>
      </w:r>
      <w:r>
        <w:rPr>
          <w:sz w:val="20"/>
          <w:vertAlign w:val="baseline"/>
        </w:rPr>
        <w:t>femmes</w:t>
      </w:r>
      <w:r>
        <w:rPr>
          <w:spacing w:val="-6"/>
          <w:sz w:val="20"/>
          <w:vertAlign w:val="baseline"/>
        </w:rPr>
        <w:t> </w:t>
      </w:r>
      <w:r>
        <w:rPr>
          <w:sz w:val="20"/>
          <w:vertAlign w:val="baseline"/>
        </w:rPr>
        <w:t>rivales</w:t>
      </w:r>
      <w:r>
        <w:rPr>
          <w:spacing w:val="-3"/>
          <w:sz w:val="20"/>
          <w:vertAlign w:val="baseline"/>
        </w:rPr>
        <w:t> </w:t>
      </w:r>
      <w:r>
        <w:rPr>
          <w:sz w:val="20"/>
          <w:vertAlign w:val="baseline"/>
        </w:rPr>
        <w:t>dans</w:t>
      </w:r>
      <w:r>
        <w:rPr>
          <w:spacing w:val="-3"/>
          <w:sz w:val="20"/>
          <w:vertAlign w:val="baseline"/>
        </w:rPr>
        <w:t> </w:t>
      </w:r>
      <w:r>
        <w:rPr>
          <w:sz w:val="20"/>
          <w:vertAlign w:val="baseline"/>
        </w:rPr>
        <w:t>la</w:t>
      </w:r>
      <w:r>
        <w:rPr>
          <w:spacing w:val="-2"/>
          <w:sz w:val="20"/>
          <w:vertAlign w:val="baseline"/>
        </w:rPr>
        <w:t> polygamie.</w:t>
      </w:r>
    </w:p>
    <w:p>
      <w:pPr>
        <w:spacing w:after="0"/>
        <w:jc w:val="left"/>
        <w:rPr>
          <w:sz w:val="20"/>
        </w:rPr>
        <w:sectPr>
          <w:footerReference w:type="default" r:id="rId12"/>
          <w:footerReference w:type="even" r:id="rId13"/>
          <w:pgSz w:w="11910" w:h="16840"/>
          <w:pgMar w:header="0" w:footer="1005" w:top="840" w:bottom="1200" w:left="700" w:right="260"/>
          <w:pgNumType w:start="5"/>
        </w:sectPr>
      </w:pPr>
    </w:p>
    <w:p>
      <w:pPr>
        <w:pStyle w:val="BodyText"/>
        <w:spacing w:line="276" w:lineRule="auto" w:before="271"/>
        <w:ind w:right="1149"/>
        <w:jc w:val="both"/>
      </w:pPr>
      <w:r>
        <w:rPr/>
        <w:t>manifestationssocioculturelles traduites par ce xénisme</w:t>
      </w:r>
      <w:r>
        <w:rPr>
          <w:vertAlign w:val="superscript"/>
        </w:rPr>
        <w:t>4</w:t>
      </w:r>
      <w:r>
        <w:rPr>
          <w:vertAlign w:val="baseline"/>
        </w:rPr>
        <w:t>ne sont pas connues du milieu</w:t>
      </w:r>
      <w:r>
        <w:rPr>
          <w:spacing w:val="40"/>
          <w:vertAlign w:val="baseline"/>
        </w:rPr>
        <w:t> </w:t>
      </w:r>
      <w:r>
        <w:rPr>
          <w:spacing w:val="-2"/>
          <w:vertAlign w:val="baseline"/>
        </w:rPr>
        <w:t>français.</w:t>
      </w:r>
    </w:p>
    <w:p>
      <w:pPr>
        <w:pStyle w:val="Heading1"/>
        <w:numPr>
          <w:ilvl w:val="0"/>
          <w:numId w:val="1"/>
        </w:numPr>
        <w:tabs>
          <w:tab w:pos="958" w:val="left" w:leader="none"/>
        </w:tabs>
        <w:spacing w:line="240" w:lineRule="auto" w:before="123" w:after="0"/>
        <w:ind w:left="958" w:right="0" w:hanging="240"/>
        <w:jc w:val="both"/>
      </w:pPr>
      <w:r>
        <w:rPr/>
        <w:t>Quelques</w:t>
      </w:r>
      <w:r>
        <w:rPr>
          <w:spacing w:val="-1"/>
        </w:rPr>
        <w:t> </w:t>
      </w:r>
      <w:r>
        <w:rPr/>
        <w:t>manifestations</w:t>
      </w:r>
      <w:r>
        <w:rPr>
          <w:spacing w:val="1"/>
        </w:rPr>
        <w:t> </w:t>
      </w:r>
      <w:r>
        <w:rPr/>
        <w:t>du</w:t>
      </w:r>
      <w:r>
        <w:rPr>
          <w:spacing w:val="1"/>
        </w:rPr>
        <w:t> </w:t>
      </w:r>
      <w:r>
        <w:rPr>
          <w:spacing w:val="-2"/>
        </w:rPr>
        <w:t>sanankounya</w:t>
      </w:r>
    </w:p>
    <w:p>
      <w:pPr>
        <w:pStyle w:val="BodyText"/>
        <w:spacing w:line="276" w:lineRule="auto" w:before="159"/>
        <w:ind w:right="1153"/>
        <w:jc w:val="both"/>
      </w:pPr>
      <w:r>
        <w:rPr/>
        <w:t>Le sanankounya revêt plusieurs</w:t>
      </w:r>
      <w:r>
        <w:rPr>
          <w:spacing w:val="-2"/>
        </w:rPr>
        <w:t> </w:t>
      </w:r>
      <w:r>
        <w:rPr/>
        <w:t>caractéristiques selon les ingrédients et</w:t>
      </w:r>
      <w:r>
        <w:rPr>
          <w:spacing w:val="-2"/>
        </w:rPr>
        <w:t> </w:t>
      </w:r>
      <w:r>
        <w:rPr/>
        <w:t>les faits socioculturels et les facteurs psychoaffectifs impliqués.Ainsi, les Peuls ridiculisent les Forgerons sur le travail du fer ; les koyakase moquent du senoufoà cause de la bicyclette.Les forgerons et bijoutiers chahutent les peuls au sujet du lait et du bœuf. Les Baoulés accablent les Agnis</w:t>
      </w:r>
      <w:r>
        <w:rPr>
          <w:spacing w:val="80"/>
        </w:rPr>
        <w:t> </w:t>
      </w:r>
      <w:r>
        <w:rPr/>
        <w:t>pour leur addiction supposée à la boisson alcoolisée. Ainsi le gin est désigné de façon périphrastique par ‘Ce-que-Agni-boit’. Les koyaka en disent autant du senoufoau sujet du tchapalo. Le haricot, la patate et le manioc sont cités dans le sanankounya entre Cissé et Fofana, entre</w:t>
      </w:r>
      <w:r>
        <w:rPr>
          <w:spacing w:val="-1"/>
        </w:rPr>
        <w:t> </w:t>
      </w:r>
      <w:r>
        <w:rPr/>
        <w:t>Sanogo et Bamba, entre Coulibaly</w:t>
      </w:r>
      <w:r>
        <w:rPr>
          <w:spacing w:val="-2"/>
        </w:rPr>
        <w:t> </w:t>
      </w:r>
      <w:r>
        <w:rPr/>
        <w:t>et Ouattara, etc. Les membres de ces clans se rejettent mutuellement la consommation de ces denrées alimentaires selon des modalités discursives appropriées.Il faut citer également le jeu de taquinerie fondé sur les estimes partagées : le Peul apprécie chez le Malinké sa franchise même vexatoire quelquefois. Quant au Malinké, il a une folle admiration pour le sens de l’honneur du Peul, en l’occurrence, son respect scrupuleux pour sa belle-famille.Ce sont des alliances qui permettent d’entretenir une certaine fraternité.</w:t>
      </w:r>
    </w:p>
    <w:p>
      <w:pPr>
        <w:pStyle w:val="BodyText"/>
        <w:spacing w:line="278" w:lineRule="auto" w:before="119"/>
        <w:ind w:right="1152"/>
        <w:jc w:val="both"/>
      </w:pPr>
      <w:r>
        <w:rPr/>
        <w:t>Mais on retrouve également des alliances nouées autour d’une réconciliation. Une alliance cathartique qui vise à exorciser le mal causé par la guerre. C’est l’exemple de l’alliance</w:t>
      </w:r>
      <w:r>
        <w:rPr>
          <w:spacing w:val="40"/>
        </w:rPr>
        <w:t> </w:t>
      </w:r>
      <w:r>
        <w:rPr/>
        <w:t>Abbey et Dida scellée par un traité de paix après de violents conflits.Si le discours du sanankounya au sein de la famille est plutôt atténué, celui qui lie différentes communautés est marqué par des quolibets, des railleries rêches, des ironies sarcastiques, etc. Ces moments et lieux d’énonciation sont variés, allant des cérémonies de réjouissances au deuil</w:t>
      </w:r>
      <w:r>
        <w:rPr>
          <w:vertAlign w:val="superscript"/>
        </w:rPr>
        <w:t>1</w:t>
      </w:r>
      <w:r>
        <w:rPr>
          <w:vertAlign w:val="baseline"/>
        </w:rPr>
        <w:t>. Comme </w:t>
      </w:r>
      <w:r>
        <w:rPr>
          <w:vertAlign w:val="baseline"/>
        </w:rPr>
        <w:t>le disent Reboux P. (2007) au sujet de l'humour, le sinankounya consiste à ‘traiter à la légère les choses</w:t>
      </w:r>
      <w:r>
        <w:rPr>
          <w:spacing w:val="-1"/>
          <w:vertAlign w:val="baseline"/>
        </w:rPr>
        <w:t> </w:t>
      </w:r>
      <w:r>
        <w:rPr>
          <w:vertAlign w:val="baseline"/>
        </w:rPr>
        <w:t>graves, et gravement les choses légères’.Le langage du sanankounya n’est pas toujours explicite. Le sens inscrit sous-entend des intentions, des sens symbolique, esthétique, parfois poétique, parabolique, philosophique, moraliste, etc., qui ne peuvent être dévoilés qu’avec la prise en considération des facteurs contextuels.</w:t>
      </w:r>
    </w:p>
    <w:p>
      <w:pPr>
        <w:pStyle w:val="Heading1"/>
        <w:numPr>
          <w:ilvl w:val="0"/>
          <w:numId w:val="1"/>
        </w:numPr>
        <w:tabs>
          <w:tab w:pos="958" w:val="left" w:leader="none"/>
        </w:tabs>
        <w:spacing w:line="240" w:lineRule="auto" w:before="122" w:after="0"/>
        <w:ind w:left="958" w:right="0" w:hanging="240"/>
        <w:jc w:val="both"/>
      </w:pPr>
      <w:r>
        <w:rPr/>
        <w:t>Les</w:t>
      </w:r>
      <w:r>
        <w:rPr>
          <w:spacing w:val="-2"/>
        </w:rPr>
        <w:t> </w:t>
      </w:r>
      <w:r>
        <w:rPr/>
        <w:t>indices de</w:t>
      </w:r>
      <w:r>
        <w:rPr>
          <w:spacing w:val="-1"/>
        </w:rPr>
        <w:t> </w:t>
      </w:r>
      <w:r>
        <w:rPr/>
        <w:t>contextualisation du</w:t>
      </w:r>
      <w:r>
        <w:rPr>
          <w:spacing w:val="-1"/>
        </w:rPr>
        <w:t> </w:t>
      </w:r>
      <w:r>
        <w:rPr>
          <w:spacing w:val="-2"/>
        </w:rPr>
        <w:t>sanakounya</w:t>
      </w:r>
    </w:p>
    <w:p>
      <w:pPr>
        <w:pStyle w:val="BodyText"/>
        <w:spacing w:before="156"/>
        <w:jc w:val="both"/>
      </w:pPr>
      <w:r>
        <w:rPr/>
        <w:t>L’expression</w:t>
      </w:r>
      <w:r>
        <w:rPr>
          <w:spacing w:val="3"/>
        </w:rPr>
        <w:t> </w:t>
      </w:r>
      <w:r>
        <w:rPr/>
        <w:t>«</w:t>
      </w:r>
      <w:r>
        <w:rPr>
          <w:spacing w:val="-9"/>
        </w:rPr>
        <w:t> </w:t>
      </w:r>
      <w:r>
        <w:rPr/>
        <w:t>indices</w:t>
      </w:r>
      <w:r>
        <w:rPr>
          <w:spacing w:val="-3"/>
        </w:rPr>
        <w:t> </w:t>
      </w:r>
      <w:r>
        <w:rPr/>
        <w:t>de</w:t>
      </w:r>
      <w:r>
        <w:rPr>
          <w:spacing w:val="-1"/>
        </w:rPr>
        <w:t> </w:t>
      </w:r>
      <w:r>
        <w:rPr/>
        <w:t>contextualisation», selon</w:t>
      </w:r>
      <w:r>
        <w:rPr>
          <w:spacing w:val="-1"/>
        </w:rPr>
        <w:t> </w:t>
      </w:r>
      <w:r>
        <w:rPr/>
        <w:t>Ducrot</w:t>
      </w:r>
      <w:r>
        <w:rPr>
          <w:spacing w:val="-1"/>
        </w:rPr>
        <w:t> </w:t>
      </w:r>
      <w:r>
        <w:rPr/>
        <w:t>et Schaeffer</w:t>
      </w:r>
      <w:r>
        <w:rPr>
          <w:spacing w:val="-1"/>
        </w:rPr>
        <w:t> </w:t>
      </w:r>
      <w:r>
        <w:rPr/>
        <w:t>désigne</w:t>
      </w:r>
      <w:r>
        <w:rPr>
          <w:spacing w:val="-3"/>
        </w:rPr>
        <w:t> </w:t>
      </w:r>
      <w:r>
        <w:rPr>
          <w:spacing w:val="-10"/>
        </w:rPr>
        <w:t>:</w:t>
      </w:r>
    </w:p>
    <w:p>
      <w:pPr>
        <w:spacing w:before="160"/>
        <w:ind w:left="1884" w:right="1229" w:firstLine="0"/>
        <w:jc w:val="both"/>
        <w:rPr>
          <w:sz w:val="22"/>
        </w:rPr>
      </w:pPr>
      <w:r>
        <w:rPr>
          <w:i/>
          <w:sz w:val="22"/>
        </w:rPr>
        <w:t>des formes linguistiques diverses appartenant au répertoire linguistique des locuteurs. Les indices de contextualisation interviennent dans le signalement des présupposés contextuels et contribuent à indiquer la manière dont les énoncés doivent être interprétés. L’inférence conversationnelle correspond à ce processus d’interprétation située par lequel un locuteur détermine l’intention véhiculée par l’énoncé de son interlocuteur et indique, par la réplique qu’il fait, l’interprétation qu’il a donné </w:t>
      </w:r>
      <w:r>
        <w:rPr>
          <w:sz w:val="22"/>
        </w:rPr>
        <w:t>(1972, 1995, p. 147)</w:t>
      </w:r>
    </w:p>
    <w:p>
      <w:pPr>
        <w:pStyle w:val="BodyText"/>
        <w:spacing w:line="276" w:lineRule="auto" w:before="121"/>
        <w:ind w:right="1155"/>
        <w:jc w:val="both"/>
      </w:pPr>
      <w:r>
        <w:rPr/>
        <w:t>Les</w:t>
      </w:r>
      <w:r>
        <w:rPr>
          <w:spacing w:val="-4"/>
        </w:rPr>
        <w:t> </w:t>
      </w:r>
      <w:r>
        <w:rPr/>
        <w:t>indices</w:t>
      </w:r>
      <w:r>
        <w:rPr>
          <w:spacing w:val="-4"/>
        </w:rPr>
        <w:t> </w:t>
      </w:r>
      <w:r>
        <w:rPr/>
        <w:t>de</w:t>
      </w:r>
      <w:r>
        <w:rPr>
          <w:spacing w:val="-4"/>
        </w:rPr>
        <w:t> </w:t>
      </w:r>
      <w:r>
        <w:rPr/>
        <w:t>contextualisation</w:t>
      </w:r>
      <w:r>
        <w:rPr>
          <w:spacing w:val="-4"/>
        </w:rPr>
        <w:t> </w:t>
      </w:r>
      <w:r>
        <w:rPr/>
        <w:t>du</w:t>
      </w:r>
      <w:r>
        <w:rPr>
          <w:spacing w:val="-4"/>
        </w:rPr>
        <w:t> </w:t>
      </w:r>
      <w:r>
        <w:rPr/>
        <w:t>sanankouya</w:t>
      </w:r>
      <w:r>
        <w:rPr>
          <w:spacing w:val="-3"/>
        </w:rPr>
        <w:t> </w:t>
      </w:r>
      <w:r>
        <w:rPr/>
        <w:t>permettent</w:t>
      </w:r>
      <w:r>
        <w:rPr>
          <w:spacing w:val="-4"/>
        </w:rPr>
        <w:t> </w:t>
      </w:r>
      <w:r>
        <w:rPr/>
        <w:t>aux</w:t>
      </w:r>
      <w:r>
        <w:rPr>
          <w:spacing w:val="-2"/>
        </w:rPr>
        <w:t> </w:t>
      </w:r>
      <w:r>
        <w:rPr/>
        <w:t>partenaires</w:t>
      </w:r>
      <w:r>
        <w:rPr>
          <w:spacing w:val="-2"/>
        </w:rPr>
        <w:t> </w:t>
      </w:r>
      <w:r>
        <w:rPr/>
        <w:t>de</w:t>
      </w:r>
      <w:r>
        <w:rPr>
          <w:spacing w:val="-7"/>
        </w:rPr>
        <w:t> </w:t>
      </w:r>
      <w:r>
        <w:rPr/>
        <w:t>l’énonciation</w:t>
      </w:r>
      <w:r>
        <w:rPr>
          <w:spacing w:val="-4"/>
        </w:rPr>
        <w:t> </w:t>
      </w:r>
      <w:r>
        <w:rPr/>
        <w:t>de reconnaître</w:t>
      </w:r>
      <w:r>
        <w:rPr>
          <w:spacing w:val="11"/>
        </w:rPr>
        <w:t> </w:t>
      </w:r>
      <w:r>
        <w:rPr/>
        <w:t>les</w:t>
      </w:r>
      <w:r>
        <w:rPr>
          <w:spacing w:val="13"/>
        </w:rPr>
        <w:t> </w:t>
      </w:r>
      <w:r>
        <w:rPr/>
        <w:t>traits</w:t>
      </w:r>
      <w:r>
        <w:rPr>
          <w:spacing w:val="13"/>
        </w:rPr>
        <w:t> </w:t>
      </w:r>
      <w:r>
        <w:rPr/>
        <w:t>caractéristiques</w:t>
      </w:r>
      <w:r>
        <w:rPr>
          <w:spacing w:val="8"/>
        </w:rPr>
        <w:t> </w:t>
      </w:r>
      <w:r>
        <w:rPr/>
        <w:t>du</w:t>
      </w:r>
      <w:r>
        <w:rPr>
          <w:spacing w:val="11"/>
        </w:rPr>
        <w:t> </w:t>
      </w:r>
      <w:r>
        <w:rPr/>
        <w:t>pacte</w:t>
      </w:r>
      <w:r>
        <w:rPr>
          <w:spacing w:val="11"/>
        </w:rPr>
        <w:t> </w:t>
      </w:r>
      <w:r>
        <w:rPr/>
        <w:t>d’alliance</w:t>
      </w:r>
      <w:r>
        <w:rPr>
          <w:spacing w:val="11"/>
        </w:rPr>
        <w:t> </w:t>
      </w:r>
      <w:r>
        <w:rPr/>
        <w:t>considéré.</w:t>
      </w:r>
      <w:r>
        <w:rPr>
          <w:spacing w:val="15"/>
        </w:rPr>
        <w:t> </w:t>
      </w:r>
      <w:r>
        <w:rPr/>
        <w:t>Ils</w:t>
      </w:r>
      <w:r>
        <w:rPr>
          <w:spacing w:val="11"/>
        </w:rPr>
        <w:t> </w:t>
      </w:r>
      <w:r>
        <w:rPr/>
        <w:t>fonctionnent</w:t>
      </w:r>
      <w:r>
        <w:rPr>
          <w:spacing w:val="11"/>
        </w:rPr>
        <w:t> </w:t>
      </w:r>
      <w:r>
        <w:rPr/>
        <w:t>selon</w:t>
      </w:r>
      <w:r>
        <w:rPr>
          <w:spacing w:val="12"/>
        </w:rPr>
        <w:t> </w:t>
      </w:r>
      <w:r>
        <w:rPr>
          <w:spacing w:val="-5"/>
        </w:rPr>
        <w:t>des</w:t>
      </w:r>
    </w:p>
    <w:p>
      <w:pPr>
        <w:pStyle w:val="BodyText"/>
        <w:spacing w:before="9"/>
        <w:ind w:left="0"/>
        <w:rPr>
          <w:sz w:val="9"/>
        </w:rPr>
      </w:pPr>
      <w:r>
        <w:rPr/>
        <mc:AlternateContent>
          <mc:Choice Requires="wps">
            <w:drawing>
              <wp:anchor distT="0" distB="0" distL="0" distR="0" allowOverlap="1" layoutInCell="1" locked="0" behindDoc="1" simplePos="0" relativeHeight="487590400">
                <wp:simplePos x="0" y="0"/>
                <wp:positionH relativeFrom="page">
                  <wp:posOffset>900683</wp:posOffset>
                </wp:positionH>
                <wp:positionV relativeFrom="paragraph">
                  <wp:posOffset>86896</wp:posOffset>
                </wp:positionV>
                <wp:extent cx="1828800" cy="9525"/>
                <wp:effectExtent l="0" t="0" r="0" b="0"/>
                <wp:wrapTopAndBottom/>
                <wp:docPr id="12" name="Graphic 12"/>
                <wp:cNvGraphicFramePr>
                  <a:graphicFrameLocks/>
                </wp:cNvGraphicFramePr>
                <a:graphic>
                  <a:graphicData uri="http://schemas.microsoft.com/office/word/2010/wordprocessingShape">
                    <wps:wsp>
                      <wps:cNvPr id="12" name="Graphic 12"/>
                      <wps:cNvSpPr/>
                      <wps:spPr>
                        <a:xfrm>
                          <a:off x="0" y="0"/>
                          <a:ext cx="1828800" cy="9525"/>
                        </a:xfrm>
                        <a:custGeom>
                          <a:avLst/>
                          <a:gdLst/>
                          <a:ahLst/>
                          <a:cxnLst/>
                          <a:rect l="l" t="t" r="r" b="b"/>
                          <a:pathLst>
                            <a:path w="1828800" h="9525">
                              <a:moveTo>
                                <a:pt x="1828800" y="9143"/>
                              </a:moveTo>
                              <a:lnTo>
                                <a:pt x="0" y="9143"/>
                              </a:lnTo>
                              <a:lnTo>
                                <a:pt x="0" y="0"/>
                              </a:lnTo>
                              <a:lnTo>
                                <a:pt x="1828800" y="0"/>
                              </a:lnTo>
                              <a:lnTo>
                                <a:pt x="1828800" y="9143"/>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70.919998pt;margin-top:6.842224pt;width:144.0pt;height:.719971pt;mso-position-horizontal-relative:page;mso-position-vertical-relative:paragraph;z-index:-15726080;mso-wrap-distance-left:0;mso-wrap-distance-right:0" id="docshape10" filled="true" fillcolor="#000000" stroked="false">
                <v:fill type="solid"/>
                <w10:wrap type="topAndBottom"/>
              </v:rect>
            </w:pict>
          </mc:Fallback>
        </mc:AlternateContent>
      </w:r>
    </w:p>
    <w:p>
      <w:pPr>
        <w:spacing w:line="242" w:lineRule="auto" w:before="119"/>
        <w:ind w:left="819" w:right="1153" w:firstLine="0"/>
        <w:jc w:val="both"/>
        <w:rPr>
          <w:rFonts w:ascii="Calibri" w:hAnsi="Calibri"/>
          <w:sz w:val="20"/>
        </w:rPr>
      </w:pPr>
      <w:r>
        <w:rPr>
          <w:rFonts w:ascii="Calibri" w:hAnsi="Calibri"/>
          <w:sz w:val="20"/>
          <w:vertAlign w:val="superscript"/>
        </w:rPr>
        <w:t>4</w:t>
      </w:r>
      <w:r>
        <w:rPr>
          <w:rFonts w:ascii="Calibri" w:hAnsi="Calibri"/>
          <w:sz w:val="20"/>
          <w:vertAlign w:val="baseline"/>
        </w:rPr>
        <w:t> Nous définissons le xénisme comme un emprunt à une langue étrangère encore perçue comme tel : emploi individuel et non-intégration dans la langue seconde. (le texte manifeste généralement cette non-intégration dans la graphie : usage de l’italique ou des guillemets) </w:t>
      </w:r>
      <w:r>
        <w:rPr>
          <w:rFonts w:ascii="Calibri" w:hAnsi="Calibri"/>
          <w:i/>
          <w:sz w:val="20"/>
          <w:vertAlign w:val="baseline"/>
        </w:rPr>
        <w:t>In </w:t>
      </w:r>
      <w:r>
        <w:rPr>
          <w:rFonts w:ascii="Calibri" w:hAnsi="Calibri"/>
          <w:sz w:val="20"/>
          <w:vertAlign w:val="baseline"/>
        </w:rPr>
        <w:t>“L’utilisation de mots ‘étrangers’ dans un roman francophone ouest-africain : étude des xénismes dans </w:t>
      </w:r>
      <w:r>
        <w:rPr>
          <w:rFonts w:ascii="Calibri" w:hAnsi="Calibri"/>
          <w:i/>
          <w:sz w:val="20"/>
          <w:vertAlign w:val="baseline"/>
        </w:rPr>
        <w:t>Monnè, outrages et défis </w:t>
      </w:r>
      <w:r>
        <w:rPr>
          <w:rFonts w:ascii="Calibri" w:hAnsi="Calibri"/>
          <w:sz w:val="20"/>
          <w:vertAlign w:val="baseline"/>
        </w:rPr>
        <w:t>(Ahmadou Kourouma)”, </w:t>
      </w:r>
      <w:r>
        <w:rPr>
          <w:rFonts w:ascii="Calibri" w:hAnsi="Calibri"/>
          <w:i/>
          <w:sz w:val="20"/>
          <w:vertAlign w:val="baseline"/>
        </w:rPr>
        <w:t>Bulletin du ROFCAN </w:t>
      </w:r>
      <w:r>
        <w:rPr>
          <w:rFonts w:ascii="Calibri" w:hAnsi="Calibri"/>
          <w:sz w:val="20"/>
          <w:vertAlign w:val="baseline"/>
        </w:rPr>
        <w:t>n ° 10, INALF/CNRS, Didier Érudition, 1996.</w:t>
      </w:r>
    </w:p>
    <w:p>
      <w:pPr>
        <w:spacing w:after="0" w:line="242" w:lineRule="auto"/>
        <w:jc w:val="both"/>
        <w:rPr>
          <w:rFonts w:ascii="Calibri" w:hAnsi="Calibri"/>
          <w:sz w:val="20"/>
        </w:rPr>
        <w:sectPr>
          <w:pgSz w:w="11910" w:h="16840"/>
          <w:pgMar w:header="0" w:footer="1005" w:top="840" w:bottom="1200" w:left="700" w:right="260"/>
        </w:sectPr>
      </w:pPr>
    </w:p>
    <w:p>
      <w:pPr>
        <w:pStyle w:val="BodyText"/>
        <w:spacing w:line="276" w:lineRule="auto" w:before="271"/>
        <w:ind w:right="902"/>
      </w:pPr>
      <w:r>
        <w:rPr/>
        <w:t>ingrédients</w:t>
      </w:r>
      <w:r>
        <w:rPr>
          <w:spacing w:val="40"/>
        </w:rPr>
        <w:t> </w:t>
      </w:r>
      <w:r>
        <w:rPr/>
        <w:t>repérés</w:t>
      </w:r>
      <w:r>
        <w:rPr>
          <w:spacing w:val="40"/>
        </w:rPr>
        <w:t> </w:t>
      </w:r>
      <w:r>
        <w:rPr/>
        <w:t>dans</w:t>
      </w:r>
      <w:r>
        <w:rPr>
          <w:spacing w:val="40"/>
        </w:rPr>
        <w:t> </w:t>
      </w:r>
      <w:r>
        <w:rPr/>
        <w:t>le</w:t>
      </w:r>
      <w:r>
        <w:rPr>
          <w:spacing w:val="40"/>
        </w:rPr>
        <w:t> </w:t>
      </w:r>
      <w:r>
        <w:rPr/>
        <w:t>milieu</w:t>
      </w:r>
      <w:r>
        <w:rPr>
          <w:spacing w:val="40"/>
        </w:rPr>
        <w:t> </w:t>
      </w:r>
      <w:r>
        <w:rPr/>
        <w:t>social.</w:t>
      </w:r>
      <w:r>
        <w:rPr>
          <w:spacing w:val="40"/>
        </w:rPr>
        <w:t> </w:t>
      </w:r>
      <w:r>
        <w:rPr/>
        <w:t>Les</w:t>
      </w:r>
      <w:r>
        <w:rPr>
          <w:spacing w:val="40"/>
        </w:rPr>
        <w:t> </w:t>
      </w:r>
      <w:r>
        <w:rPr/>
        <w:t>indices</w:t>
      </w:r>
      <w:r>
        <w:rPr>
          <w:spacing w:val="40"/>
        </w:rPr>
        <w:t> </w:t>
      </w:r>
      <w:r>
        <w:rPr/>
        <w:t>de</w:t>
      </w:r>
      <w:r>
        <w:rPr>
          <w:spacing w:val="40"/>
        </w:rPr>
        <w:t> </w:t>
      </w:r>
      <w:r>
        <w:rPr/>
        <w:t>contextualisation</w:t>
      </w:r>
      <w:r>
        <w:rPr>
          <w:spacing w:val="40"/>
        </w:rPr>
        <w:t> </w:t>
      </w:r>
      <w:r>
        <w:rPr/>
        <w:t>sont</w:t>
      </w:r>
      <w:r>
        <w:rPr>
          <w:spacing w:val="40"/>
        </w:rPr>
        <w:t> </w:t>
      </w:r>
      <w:r>
        <w:rPr/>
        <w:t>donc</w:t>
      </w:r>
      <w:r>
        <w:rPr>
          <w:spacing w:val="40"/>
        </w:rPr>
        <w:t> </w:t>
      </w:r>
      <w:r>
        <w:rPr/>
        <w:t>des stéréotypes fondés sur des observations de la vie quotidienne et sur des mythes et légendes.</w:t>
      </w:r>
    </w:p>
    <w:p>
      <w:pPr>
        <w:pStyle w:val="ListParagraph"/>
        <w:numPr>
          <w:ilvl w:val="1"/>
          <w:numId w:val="1"/>
        </w:numPr>
        <w:tabs>
          <w:tab w:pos="1138" w:val="left" w:leader="none"/>
        </w:tabs>
        <w:spacing w:line="240" w:lineRule="auto" w:before="123" w:after="0"/>
        <w:ind w:left="1138" w:right="0" w:hanging="420"/>
        <w:jc w:val="left"/>
        <w:rPr>
          <w:b/>
          <w:i/>
          <w:sz w:val="24"/>
        </w:rPr>
      </w:pPr>
      <w:r>
        <w:rPr>
          <w:b/>
          <w:sz w:val="24"/>
        </w:rPr>
        <w:t>Analyse</w:t>
      </w:r>
      <w:r>
        <w:rPr>
          <w:b/>
          <w:spacing w:val="-1"/>
          <w:sz w:val="24"/>
        </w:rPr>
        <w:t> </w:t>
      </w:r>
      <w:r>
        <w:rPr>
          <w:b/>
          <w:sz w:val="24"/>
        </w:rPr>
        <w:t>d’un</w:t>
      </w:r>
      <w:r>
        <w:rPr>
          <w:b/>
          <w:spacing w:val="1"/>
          <w:sz w:val="24"/>
        </w:rPr>
        <w:t> </w:t>
      </w:r>
      <w:r>
        <w:rPr>
          <w:b/>
          <w:sz w:val="24"/>
        </w:rPr>
        <w:t>échange</w:t>
      </w:r>
      <w:r>
        <w:rPr>
          <w:b/>
          <w:spacing w:val="-4"/>
          <w:sz w:val="24"/>
        </w:rPr>
        <w:t> </w:t>
      </w:r>
      <w:r>
        <w:rPr>
          <w:b/>
          <w:sz w:val="24"/>
        </w:rPr>
        <w:t>illustrant le</w:t>
      </w:r>
      <w:r>
        <w:rPr>
          <w:b/>
          <w:spacing w:val="-2"/>
          <w:sz w:val="24"/>
        </w:rPr>
        <w:t> </w:t>
      </w:r>
      <w:r>
        <w:rPr>
          <w:b/>
          <w:i/>
          <w:spacing w:val="-2"/>
          <w:sz w:val="24"/>
        </w:rPr>
        <w:t>sanankounya</w:t>
      </w:r>
    </w:p>
    <w:p>
      <w:pPr>
        <w:pStyle w:val="BodyText"/>
        <w:spacing w:line="276" w:lineRule="auto" w:before="159"/>
      </w:pPr>
      <w:r>
        <w:rPr/>
        <w:t>La</w:t>
      </w:r>
      <w:r>
        <w:rPr>
          <w:spacing w:val="80"/>
        </w:rPr>
        <w:t> </w:t>
      </w:r>
      <w:r>
        <w:rPr/>
        <w:t>sociolinguistique interactionnelle étudie</w:t>
      </w:r>
      <w:r>
        <w:rPr>
          <w:spacing w:val="80"/>
        </w:rPr>
        <w:t> </w:t>
      </w:r>
      <w:r>
        <w:rPr/>
        <w:t>ces</w:t>
      </w:r>
      <w:r>
        <w:rPr>
          <w:spacing w:val="80"/>
        </w:rPr>
        <w:t> </w:t>
      </w:r>
      <w:r>
        <w:rPr/>
        <w:t>indices</w:t>
      </w:r>
      <w:r>
        <w:rPr>
          <w:spacing w:val="80"/>
        </w:rPr>
        <w:t> </w:t>
      </w:r>
      <w:r>
        <w:rPr/>
        <w:t>de</w:t>
      </w:r>
      <w:r>
        <w:rPr>
          <w:spacing w:val="80"/>
        </w:rPr>
        <w:t> </w:t>
      </w:r>
      <w:r>
        <w:rPr/>
        <w:t>contextualisation pour décrire la‘signification pragmatique’ des énoncés comme on peut l’observer à travers ces exemples :</w:t>
      </w:r>
    </w:p>
    <w:p>
      <w:pPr>
        <w:spacing w:before="118"/>
        <w:ind w:left="1851" w:right="0" w:firstLine="0"/>
        <w:jc w:val="left"/>
        <w:rPr>
          <w:i/>
          <w:sz w:val="22"/>
        </w:rPr>
      </w:pPr>
      <w:r>
        <w:rPr>
          <w:sz w:val="22"/>
        </w:rPr>
        <w:t>-E1</w:t>
      </w:r>
      <w:r>
        <w:rPr>
          <w:spacing w:val="-3"/>
          <w:sz w:val="22"/>
        </w:rPr>
        <w:t> </w:t>
      </w:r>
      <w:r>
        <w:rPr>
          <w:sz w:val="22"/>
        </w:rPr>
        <w:t>:</w:t>
      </w:r>
      <w:r>
        <w:rPr>
          <w:spacing w:val="-1"/>
          <w:sz w:val="22"/>
        </w:rPr>
        <w:t> </w:t>
      </w:r>
      <w:r>
        <w:rPr>
          <w:i/>
          <w:sz w:val="22"/>
        </w:rPr>
        <w:t>Esclave</w:t>
      </w:r>
      <w:r>
        <w:rPr>
          <w:i/>
          <w:spacing w:val="-2"/>
          <w:sz w:val="22"/>
        </w:rPr>
        <w:t> </w:t>
      </w:r>
      <w:r>
        <w:rPr>
          <w:i/>
          <w:sz w:val="22"/>
        </w:rPr>
        <w:t>Bobo,</w:t>
      </w:r>
      <w:r>
        <w:rPr>
          <w:i/>
          <w:spacing w:val="-4"/>
          <w:sz w:val="22"/>
        </w:rPr>
        <w:t> </w:t>
      </w:r>
      <w:r>
        <w:rPr>
          <w:i/>
          <w:sz w:val="22"/>
        </w:rPr>
        <w:t>tu</w:t>
      </w:r>
      <w:r>
        <w:rPr>
          <w:i/>
          <w:spacing w:val="-2"/>
          <w:sz w:val="22"/>
        </w:rPr>
        <w:t> </w:t>
      </w:r>
      <w:r>
        <w:rPr>
          <w:i/>
          <w:sz w:val="22"/>
        </w:rPr>
        <w:t>veux</w:t>
      </w:r>
      <w:r>
        <w:rPr>
          <w:i/>
          <w:spacing w:val="-3"/>
          <w:sz w:val="22"/>
        </w:rPr>
        <w:t> </w:t>
      </w:r>
      <w:r>
        <w:rPr>
          <w:i/>
          <w:sz w:val="22"/>
        </w:rPr>
        <w:t>du</w:t>
      </w:r>
      <w:r>
        <w:rPr>
          <w:i/>
          <w:spacing w:val="-2"/>
          <w:sz w:val="22"/>
        </w:rPr>
        <w:t> </w:t>
      </w:r>
      <w:r>
        <w:rPr>
          <w:i/>
          <w:sz w:val="22"/>
        </w:rPr>
        <w:t>lait</w:t>
      </w:r>
      <w:r>
        <w:rPr>
          <w:i/>
          <w:spacing w:val="-1"/>
          <w:sz w:val="22"/>
        </w:rPr>
        <w:t> </w:t>
      </w:r>
      <w:r>
        <w:rPr>
          <w:i/>
          <w:sz w:val="22"/>
        </w:rPr>
        <w:t>pour</w:t>
      </w:r>
      <w:r>
        <w:rPr>
          <w:i/>
          <w:spacing w:val="-3"/>
          <w:sz w:val="22"/>
        </w:rPr>
        <w:t> </w:t>
      </w:r>
      <w:r>
        <w:rPr>
          <w:i/>
          <w:sz w:val="22"/>
        </w:rPr>
        <w:t>tremper</w:t>
      </w:r>
      <w:r>
        <w:rPr>
          <w:i/>
          <w:spacing w:val="-4"/>
          <w:sz w:val="22"/>
        </w:rPr>
        <w:t> </w:t>
      </w:r>
      <w:r>
        <w:rPr>
          <w:i/>
          <w:sz w:val="22"/>
        </w:rPr>
        <w:t>ta</w:t>
      </w:r>
      <w:r>
        <w:rPr>
          <w:i/>
          <w:spacing w:val="-2"/>
          <w:sz w:val="22"/>
        </w:rPr>
        <w:t> </w:t>
      </w:r>
      <w:r>
        <w:rPr>
          <w:i/>
          <w:sz w:val="22"/>
        </w:rPr>
        <w:t>chenille</w:t>
      </w:r>
      <w:r>
        <w:rPr>
          <w:i/>
          <w:spacing w:val="-1"/>
          <w:sz w:val="22"/>
        </w:rPr>
        <w:t> </w:t>
      </w:r>
      <w:r>
        <w:rPr>
          <w:i/>
          <w:spacing w:val="-10"/>
          <w:sz w:val="22"/>
        </w:rPr>
        <w:t>?</w:t>
      </w:r>
    </w:p>
    <w:p>
      <w:pPr>
        <w:spacing w:before="2"/>
        <w:ind w:left="1851" w:right="0" w:firstLine="0"/>
        <w:jc w:val="left"/>
        <w:rPr>
          <w:i/>
          <w:sz w:val="22"/>
        </w:rPr>
      </w:pPr>
      <w:r>
        <w:rPr>
          <w:sz w:val="22"/>
        </w:rPr>
        <w:t>-E2</w:t>
      </w:r>
      <w:r>
        <w:rPr>
          <w:spacing w:val="-2"/>
          <w:sz w:val="22"/>
        </w:rPr>
        <w:t> </w:t>
      </w:r>
      <w:r>
        <w:rPr>
          <w:sz w:val="22"/>
        </w:rPr>
        <w:t>: </w:t>
      </w:r>
      <w:r>
        <w:rPr>
          <w:i/>
          <w:sz w:val="22"/>
        </w:rPr>
        <w:t>Esclave</w:t>
      </w:r>
      <w:r>
        <w:rPr>
          <w:i/>
          <w:spacing w:val="-2"/>
          <w:sz w:val="22"/>
        </w:rPr>
        <w:t> </w:t>
      </w:r>
      <w:r>
        <w:rPr>
          <w:i/>
          <w:sz w:val="22"/>
        </w:rPr>
        <w:t>Peul,</w:t>
      </w:r>
      <w:r>
        <w:rPr>
          <w:i/>
          <w:spacing w:val="-3"/>
          <w:sz w:val="22"/>
        </w:rPr>
        <w:t> </w:t>
      </w:r>
      <w:r>
        <w:rPr>
          <w:i/>
          <w:sz w:val="22"/>
        </w:rPr>
        <w:t>est-ce</w:t>
      </w:r>
      <w:r>
        <w:rPr>
          <w:i/>
          <w:spacing w:val="-3"/>
          <w:sz w:val="22"/>
        </w:rPr>
        <w:t> </w:t>
      </w:r>
      <w:r>
        <w:rPr>
          <w:i/>
          <w:sz w:val="22"/>
        </w:rPr>
        <w:t>que</w:t>
      </w:r>
      <w:r>
        <w:rPr>
          <w:i/>
          <w:spacing w:val="-1"/>
          <w:sz w:val="22"/>
        </w:rPr>
        <w:t> </w:t>
      </w:r>
      <w:r>
        <w:rPr>
          <w:i/>
          <w:sz w:val="22"/>
        </w:rPr>
        <w:t>je</w:t>
      </w:r>
      <w:r>
        <w:rPr>
          <w:i/>
          <w:spacing w:val="-2"/>
          <w:sz w:val="22"/>
        </w:rPr>
        <w:t> </w:t>
      </w:r>
      <w:r>
        <w:rPr>
          <w:i/>
          <w:sz w:val="22"/>
        </w:rPr>
        <w:t>te</w:t>
      </w:r>
      <w:r>
        <w:rPr>
          <w:i/>
          <w:spacing w:val="-2"/>
          <w:sz w:val="22"/>
        </w:rPr>
        <w:t> </w:t>
      </w:r>
      <w:r>
        <w:rPr>
          <w:i/>
          <w:sz w:val="22"/>
        </w:rPr>
        <w:t>propose</w:t>
      </w:r>
      <w:r>
        <w:rPr>
          <w:i/>
          <w:spacing w:val="-1"/>
          <w:sz w:val="22"/>
        </w:rPr>
        <w:t> </w:t>
      </w:r>
      <w:r>
        <w:rPr>
          <w:i/>
          <w:sz w:val="22"/>
        </w:rPr>
        <w:t>de</w:t>
      </w:r>
      <w:r>
        <w:rPr>
          <w:i/>
          <w:spacing w:val="-1"/>
          <w:sz w:val="22"/>
        </w:rPr>
        <w:t> </w:t>
      </w:r>
      <w:r>
        <w:rPr>
          <w:i/>
          <w:sz w:val="22"/>
        </w:rPr>
        <w:t>la</w:t>
      </w:r>
      <w:r>
        <w:rPr>
          <w:i/>
          <w:spacing w:val="-3"/>
          <w:sz w:val="22"/>
        </w:rPr>
        <w:t> </w:t>
      </w:r>
      <w:r>
        <w:rPr>
          <w:i/>
          <w:sz w:val="22"/>
        </w:rPr>
        <w:t>bière</w:t>
      </w:r>
      <w:r>
        <w:rPr>
          <w:i/>
          <w:spacing w:val="-3"/>
          <w:sz w:val="22"/>
        </w:rPr>
        <w:t> </w:t>
      </w:r>
      <w:r>
        <w:rPr>
          <w:i/>
          <w:sz w:val="22"/>
        </w:rPr>
        <w:t>de</w:t>
      </w:r>
      <w:r>
        <w:rPr>
          <w:i/>
          <w:spacing w:val="-1"/>
          <w:sz w:val="22"/>
        </w:rPr>
        <w:t> </w:t>
      </w:r>
      <w:r>
        <w:rPr>
          <w:i/>
          <w:sz w:val="22"/>
        </w:rPr>
        <w:t>mil</w:t>
      </w:r>
      <w:r>
        <w:rPr>
          <w:i/>
          <w:spacing w:val="-3"/>
          <w:sz w:val="22"/>
        </w:rPr>
        <w:t> </w:t>
      </w:r>
      <w:r>
        <w:rPr>
          <w:i/>
          <w:sz w:val="22"/>
        </w:rPr>
        <w:t>pour</w:t>
      </w:r>
      <w:r>
        <w:rPr>
          <w:i/>
          <w:spacing w:val="-3"/>
          <w:sz w:val="22"/>
        </w:rPr>
        <w:t> </w:t>
      </w:r>
      <w:r>
        <w:rPr>
          <w:i/>
          <w:sz w:val="22"/>
        </w:rPr>
        <w:t>tremper</w:t>
      </w:r>
      <w:r>
        <w:rPr>
          <w:i/>
          <w:spacing w:val="-4"/>
          <w:sz w:val="22"/>
        </w:rPr>
        <w:t> </w:t>
      </w:r>
      <w:r>
        <w:rPr>
          <w:i/>
          <w:sz w:val="22"/>
        </w:rPr>
        <w:t>ton</w:t>
      </w:r>
      <w:r>
        <w:rPr>
          <w:i/>
          <w:spacing w:val="-1"/>
          <w:sz w:val="22"/>
        </w:rPr>
        <w:t> </w:t>
      </w:r>
      <w:r>
        <w:rPr>
          <w:i/>
          <w:sz w:val="22"/>
        </w:rPr>
        <w:t>bœuf</w:t>
      </w:r>
      <w:r>
        <w:rPr>
          <w:i/>
          <w:spacing w:val="-1"/>
          <w:sz w:val="22"/>
        </w:rPr>
        <w:t> </w:t>
      </w:r>
      <w:r>
        <w:rPr>
          <w:i/>
          <w:spacing w:val="-10"/>
          <w:sz w:val="22"/>
        </w:rPr>
        <w:t>?</w:t>
      </w:r>
    </w:p>
    <w:p>
      <w:pPr>
        <w:pStyle w:val="BodyText"/>
        <w:spacing w:line="276" w:lineRule="auto" w:before="119"/>
      </w:pPr>
      <w:r>
        <w:rPr/>
        <w:t>Ces</w:t>
      </w:r>
      <w:r>
        <w:rPr>
          <w:spacing w:val="80"/>
        </w:rPr>
        <w:t> </w:t>
      </w:r>
      <w:r>
        <w:rPr/>
        <w:t>deux</w:t>
      </w:r>
      <w:r>
        <w:rPr>
          <w:spacing w:val="80"/>
        </w:rPr>
        <w:t> </w:t>
      </w:r>
      <w:r>
        <w:rPr/>
        <w:t>énoncés</w:t>
      </w:r>
      <w:r>
        <w:rPr>
          <w:spacing w:val="80"/>
        </w:rPr>
        <w:t> </w:t>
      </w:r>
      <w:r>
        <w:rPr/>
        <w:t>oraux</w:t>
      </w:r>
      <w:r>
        <w:rPr>
          <w:spacing w:val="80"/>
        </w:rPr>
        <w:t> </w:t>
      </w:r>
      <w:r>
        <w:rPr/>
        <w:t>présentent</w:t>
      </w:r>
      <w:r>
        <w:rPr>
          <w:spacing w:val="80"/>
        </w:rPr>
        <w:t> </w:t>
      </w:r>
      <w:r>
        <w:rPr/>
        <w:t>le</w:t>
      </w:r>
      <w:r>
        <w:rPr>
          <w:spacing w:val="80"/>
        </w:rPr>
        <w:t> </w:t>
      </w:r>
      <w:r>
        <w:rPr/>
        <w:t>schéma</w:t>
      </w:r>
      <w:r>
        <w:rPr>
          <w:spacing w:val="80"/>
        </w:rPr>
        <w:t> </w:t>
      </w:r>
      <w:r>
        <w:rPr/>
        <w:t>intonatif</w:t>
      </w:r>
      <w:r>
        <w:rPr>
          <w:spacing w:val="80"/>
        </w:rPr>
        <w:t> </w:t>
      </w:r>
      <w:r>
        <w:rPr/>
        <w:t>qui</w:t>
      </w:r>
      <w:r>
        <w:rPr>
          <w:spacing w:val="80"/>
        </w:rPr>
        <w:t> </w:t>
      </w:r>
      <w:r>
        <w:rPr/>
        <w:t>comprend</w:t>
      </w:r>
      <w:r>
        <w:rPr>
          <w:spacing w:val="80"/>
        </w:rPr>
        <w:t> </w:t>
      </w:r>
      <w:r>
        <w:rPr/>
        <w:t>deux</w:t>
      </w:r>
      <w:r>
        <w:rPr>
          <w:spacing w:val="80"/>
        </w:rPr>
        <w:t> </w:t>
      </w:r>
      <w:r>
        <w:rPr/>
        <w:t>groupes syntagmatiques :</w:t>
      </w:r>
    </w:p>
    <w:p>
      <w:pPr>
        <w:spacing w:before="119"/>
        <w:ind w:left="1851" w:right="0" w:firstLine="0"/>
        <w:jc w:val="left"/>
        <w:rPr>
          <w:i/>
          <w:sz w:val="22"/>
        </w:rPr>
      </w:pPr>
      <w:r>
        <w:rPr>
          <w:i/>
          <w:sz w:val="22"/>
        </w:rPr>
        <w:t>-Le</w:t>
      </w:r>
      <w:r>
        <w:rPr>
          <w:i/>
          <w:spacing w:val="-3"/>
          <w:sz w:val="22"/>
        </w:rPr>
        <w:t> </w:t>
      </w:r>
      <w:r>
        <w:rPr>
          <w:i/>
          <w:sz w:val="22"/>
        </w:rPr>
        <w:t>repère</w:t>
      </w:r>
      <w:r>
        <w:rPr>
          <w:i/>
          <w:spacing w:val="-3"/>
          <w:sz w:val="22"/>
        </w:rPr>
        <w:t> </w:t>
      </w:r>
      <w:r>
        <w:rPr>
          <w:i/>
          <w:sz w:val="22"/>
        </w:rPr>
        <w:t>:</w:t>
      </w:r>
      <w:r>
        <w:rPr>
          <w:i/>
          <w:spacing w:val="-3"/>
          <w:sz w:val="22"/>
        </w:rPr>
        <w:t> </w:t>
      </w:r>
      <w:r>
        <w:rPr>
          <w:i/>
          <w:sz w:val="22"/>
        </w:rPr>
        <w:t>Esclave</w:t>
      </w:r>
      <w:r>
        <w:rPr>
          <w:i/>
          <w:spacing w:val="-3"/>
          <w:sz w:val="22"/>
        </w:rPr>
        <w:t> </w:t>
      </w:r>
      <w:r>
        <w:rPr>
          <w:i/>
          <w:sz w:val="22"/>
        </w:rPr>
        <w:t>Bobo/Esclave</w:t>
      </w:r>
      <w:r>
        <w:rPr>
          <w:i/>
          <w:spacing w:val="-3"/>
          <w:sz w:val="22"/>
        </w:rPr>
        <w:t> </w:t>
      </w:r>
      <w:r>
        <w:rPr>
          <w:i/>
          <w:sz w:val="22"/>
        </w:rPr>
        <w:t>peul</w:t>
      </w:r>
      <w:r>
        <w:rPr>
          <w:i/>
          <w:spacing w:val="-5"/>
          <w:sz w:val="22"/>
        </w:rPr>
        <w:t> </w:t>
      </w:r>
      <w:r>
        <w:rPr>
          <w:i/>
          <w:spacing w:val="-10"/>
          <w:sz w:val="22"/>
        </w:rPr>
        <w:t>;</w:t>
      </w:r>
    </w:p>
    <w:p>
      <w:pPr>
        <w:spacing w:before="1"/>
        <w:ind w:left="1851" w:right="1177" w:firstLine="0"/>
        <w:jc w:val="left"/>
        <w:rPr>
          <w:i/>
          <w:sz w:val="22"/>
        </w:rPr>
      </w:pPr>
      <w:r>
        <w:rPr>
          <w:i/>
          <w:sz w:val="22"/>
        </w:rPr>
        <w:t>-Le repéré : Est-ce que je te propose de la bière de mil pour tremper tonbœuf ? /tu veux du lait pour tremper ta chenille ?</w:t>
      </w:r>
    </w:p>
    <w:p>
      <w:pPr>
        <w:pStyle w:val="BodyText"/>
        <w:spacing w:line="276" w:lineRule="auto" w:before="121"/>
        <w:ind w:right="1153"/>
        <w:jc w:val="both"/>
      </w:pPr>
      <w:r>
        <w:rPr/>
        <w:t>Le repère désigne l’interlocuteur par son ethnie (Bobo /peul ) ou par son patronyme précédé d’un attribut</w:t>
      </w:r>
      <w:r>
        <w:rPr>
          <w:spacing w:val="40"/>
        </w:rPr>
        <w:t> </w:t>
      </w:r>
      <w:r>
        <w:rPr/>
        <w:t>social</w:t>
      </w:r>
      <w:r>
        <w:rPr>
          <w:spacing w:val="40"/>
        </w:rPr>
        <w:t> </w:t>
      </w:r>
      <w:r>
        <w:rPr/>
        <w:t>dépréciatif</w:t>
      </w:r>
      <w:r>
        <w:rPr>
          <w:spacing w:val="40"/>
        </w:rPr>
        <w:t> </w:t>
      </w:r>
      <w:r>
        <w:rPr/>
        <w:t>qui</w:t>
      </w:r>
      <w:r>
        <w:rPr>
          <w:spacing w:val="40"/>
        </w:rPr>
        <w:t> </w:t>
      </w:r>
      <w:r>
        <w:rPr/>
        <w:t>n’est</w:t>
      </w:r>
      <w:r>
        <w:rPr>
          <w:spacing w:val="40"/>
        </w:rPr>
        <w:t> </w:t>
      </w:r>
      <w:r>
        <w:rPr/>
        <w:t>pas</w:t>
      </w:r>
      <w:r>
        <w:rPr>
          <w:spacing w:val="40"/>
        </w:rPr>
        <w:t> </w:t>
      </w:r>
      <w:r>
        <w:rPr/>
        <w:t>du</w:t>
      </w:r>
      <w:r>
        <w:rPr>
          <w:spacing w:val="40"/>
        </w:rPr>
        <w:t> </w:t>
      </w:r>
      <w:r>
        <w:rPr/>
        <w:t>tout</w:t>
      </w:r>
      <w:r>
        <w:rPr>
          <w:spacing w:val="40"/>
        </w:rPr>
        <w:t> </w:t>
      </w:r>
      <w:r>
        <w:rPr/>
        <w:t>hypocoristique.</w:t>
      </w:r>
      <w:r>
        <w:rPr>
          <w:spacing w:val="40"/>
        </w:rPr>
        <w:t> </w:t>
      </w:r>
      <w:r>
        <w:rPr/>
        <w:t>C’est</w:t>
      </w:r>
      <w:r>
        <w:rPr>
          <w:spacing w:val="40"/>
        </w:rPr>
        <w:t> </w:t>
      </w:r>
      <w:r>
        <w:rPr/>
        <w:t>le</w:t>
      </w:r>
      <w:r>
        <w:rPr>
          <w:spacing w:val="40"/>
        </w:rPr>
        <w:t> </w:t>
      </w:r>
      <w:r>
        <w:rPr/>
        <w:t>terme ‘esclave’ traductible par Djondjê en malinké, kanga en baoulé… Ainsi, le repère, au moyen</w:t>
      </w:r>
      <w:r>
        <w:rPr>
          <w:spacing w:val="40"/>
        </w:rPr>
        <w:t> </w:t>
      </w:r>
      <w:r>
        <w:rPr/>
        <w:t>du vocatif, précise le sens où va se développer la teneur du sanankounya dans le rhème (Morel, 1992) (Est-ce que je te propose de la bière de mil pour tremper ton bœuf ? /Tu veux</w:t>
      </w:r>
      <w:r>
        <w:rPr>
          <w:spacing w:val="40"/>
        </w:rPr>
        <w:t> </w:t>
      </w:r>
      <w:r>
        <w:rPr/>
        <w:t>du lait pour tremper ta chenille ?). Ce vocatif définit la valeur du support coénonciatif comme deuxième personne dans l’énoncé. On peut la remplacer par la forme tonique toi :</w:t>
      </w:r>
    </w:p>
    <w:p>
      <w:pPr>
        <w:spacing w:before="118"/>
        <w:ind w:left="1851" w:right="0" w:firstLine="0"/>
        <w:jc w:val="both"/>
        <w:rPr>
          <w:i/>
          <w:sz w:val="22"/>
        </w:rPr>
      </w:pPr>
      <w:r>
        <w:rPr>
          <w:sz w:val="22"/>
        </w:rPr>
        <w:t>-E1’</w:t>
      </w:r>
      <w:r>
        <w:rPr>
          <w:spacing w:val="-2"/>
          <w:sz w:val="22"/>
        </w:rPr>
        <w:t> </w:t>
      </w:r>
      <w:r>
        <w:rPr>
          <w:sz w:val="22"/>
        </w:rPr>
        <w:t>:</w:t>
      </w:r>
      <w:r>
        <w:rPr>
          <w:spacing w:val="-2"/>
          <w:sz w:val="22"/>
        </w:rPr>
        <w:t> </w:t>
      </w:r>
      <w:r>
        <w:rPr>
          <w:i/>
          <w:sz w:val="22"/>
        </w:rPr>
        <w:t>Toi,</w:t>
      </w:r>
      <w:r>
        <w:rPr>
          <w:i/>
          <w:spacing w:val="-2"/>
          <w:sz w:val="22"/>
        </w:rPr>
        <w:t> </w:t>
      </w:r>
      <w:r>
        <w:rPr>
          <w:i/>
          <w:sz w:val="22"/>
        </w:rPr>
        <w:t>Tu</w:t>
      </w:r>
      <w:r>
        <w:rPr>
          <w:i/>
          <w:spacing w:val="-2"/>
          <w:sz w:val="22"/>
        </w:rPr>
        <w:t> </w:t>
      </w:r>
      <w:r>
        <w:rPr>
          <w:i/>
          <w:sz w:val="22"/>
        </w:rPr>
        <w:t>veux</w:t>
      </w:r>
      <w:r>
        <w:rPr>
          <w:i/>
          <w:spacing w:val="-1"/>
          <w:sz w:val="22"/>
        </w:rPr>
        <w:t> </w:t>
      </w:r>
      <w:r>
        <w:rPr>
          <w:i/>
          <w:sz w:val="22"/>
        </w:rPr>
        <w:t>du</w:t>
      </w:r>
      <w:r>
        <w:rPr>
          <w:i/>
          <w:spacing w:val="-4"/>
          <w:sz w:val="22"/>
        </w:rPr>
        <w:t> </w:t>
      </w:r>
      <w:r>
        <w:rPr>
          <w:i/>
          <w:sz w:val="22"/>
        </w:rPr>
        <w:t>lait</w:t>
      </w:r>
      <w:r>
        <w:rPr>
          <w:i/>
          <w:spacing w:val="-2"/>
          <w:sz w:val="22"/>
        </w:rPr>
        <w:t> </w:t>
      </w:r>
      <w:r>
        <w:rPr>
          <w:i/>
          <w:sz w:val="22"/>
        </w:rPr>
        <w:t>pour</w:t>
      </w:r>
      <w:r>
        <w:rPr>
          <w:i/>
          <w:spacing w:val="-2"/>
          <w:sz w:val="22"/>
        </w:rPr>
        <w:t> </w:t>
      </w:r>
      <w:r>
        <w:rPr>
          <w:i/>
          <w:sz w:val="22"/>
        </w:rPr>
        <w:t>tremper</w:t>
      </w:r>
      <w:r>
        <w:rPr>
          <w:i/>
          <w:spacing w:val="-4"/>
          <w:sz w:val="22"/>
        </w:rPr>
        <w:t> </w:t>
      </w:r>
      <w:r>
        <w:rPr>
          <w:i/>
          <w:sz w:val="22"/>
        </w:rPr>
        <w:t>ta</w:t>
      </w:r>
      <w:r>
        <w:rPr>
          <w:i/>
          <w:spacing w:val="-4"/>
          <w:sz w:val="22"/>
        </w:rPr>
        <w:t> </w:t>
      </w:r>
      <w:r>
        <w:rPr>
          <w:i/>
          <w:sz w:val="22"/>
        </w:rPr>
        <w:t>chenille</w:t>
      </w:r>
      <w:r>
        <w:rPr>
          <w:i/>
          <w:spacing w:val="-1"/>
          <w:sz w:val="22"/>
        </w:rPr>
        <w:t> </w:t>
      </w:r>
      <w:r>
        <w:rPr>
          <w:i/>
          <w:spacing w:val="-10"/>
          <w:sz w:val="22"/>
        </w:rPr>
        <w:t>?</w:t>
      </w:r>
    </w:p>
    <w:p>
      <w:pPr>
        <w:spacing w:before="1"/>
        <w:ind w:left="1851" w:right="0" w:firstLine="0"/>
        <w:jc w:val="both"/>
        <w:rPr>
          <w:i/>
          <w:sz w:val="22"/>
        </w:rPr>
      </w:pPr>
      <w:r>
        <w:rPr>
          <w:sz w:val="22"/>
        </w:rPr>
        <w:t>-E2’</w:t>
      </w:r>
      <w:r>
        <w:rPr>
          <w:spacing w:val="-3"/>
          <w:sz w:val="22"/>
        </w:rPr>
        <w:t> </w:t>
      </w:r>
      <w:r>
        <w:rPr>
          <w:sz w:val="22"/>
        </w:rPr>
        <w:t>:</w:t>
      </w:r>
      <w:r>
        <w:rPr>
          <w:spacing w:val="-1"/>
          <w:sz w:val="22"/>
        </w:rPr>
        <w:t> </w:t>
      </w:r>
      <w:r>
        <w:rPr>
          <w:i/>
          <w:sz w:val="22"/>
        </w:rPr>
        <w:t>Toi,</w:t>
      </w:r>
      <w:r>
        <w:rPr>
          <w:i/>
          <w:spacing w:val="-2"/>
          <w:sz w:val="22"/>
        </w:rPr>
        <w:t> </w:t>
      </w:r>
      <w:r>
        <w:rPr>
          <w:i/>
          <w:sz w:val="22"/>
        </w:rPr>
        <w:t>est-ce</w:t>
      </w:r>
      <w:r>
        <w:rPr>
          <w:i/>
          <w:spacing w:val="-1"/>
          <w:sz w:val="22"/>
        </w:rPr>
        <w:t> </w:t>
      </w:r>
      <w:r>
        <w:rPr>
          <w:i/>
          <w:sz w:val="22"/>
        </w:rPr>
        <w:t>que</w:t>
      </w:r>
      <w:r>
        <w:rPr>
          <w:i/>
          <w:spacing w:val="-1"/>
          <w:sz w:val="22"/>
        </w:rPr>
        <w:t> </w:t>
      </w:r>
      <w:r>
        <w:rPr>
          <w:i/>
          <w:sz w:val="22"/>
        </w:rPr>
        <w:t>je</w:t>
      </w:r>
      <w:r>
        <w:rPr>
          <w:i/>
          <w:spacing w:val="-1"/>
          <w:sz w:val="22"/>
        </w:rPr>
        <w:t> </w:t>
      </w:r>
      <w:r>
        <w:rPr>
          <w:i/>
          <w:sz w:val="22"/>
        </w:rPr>
        <w:t>te</w:t>
      </w:r>
      <w:r>
        <w:rPr>
          <w:i/>
          <w:spacing w:val="-3"/>
          <w:sz w:val="22"/>
        </w:rPr>
        <w:t> </w:t>
      </w:r>
      <w:r>
        <w:rPr>
          <w:i/>
          <w:sz w:val="22"/>
        </w:rPr>
        <w:t>propose</w:t>
      </w:r>
      <w:r>
        <w:rPr>
          <w:i/>
          <w:spacing w:val="-4"/>
          <w:sz w:val="22"/>
        </w:rPr>
        <w:t> </w:t>
      </w:r>
      <w:r>
        <w:rPr>
          <w:i/>
          <w:sz w:val="22"/>
        </w:rPr>
        <w:t>de</w:t>
      </w:r>
      <w:r>
        <w:rPr>
          <w:i/>
          <w:spacing w:val="-3"/>
          <w:sz w:val="22"/>
        </w:rPr>
        <w:t> </w:t>
      </w:r>
      <w:r>
        <w:rPr>
          <w:i/>
          <w:sz w:val="22"/>
        </w:rPr>
        <w:t>la</w:t>
      </w:r>
      <w:r>
        <w:rPr>
          <w:i/>
          <w:spacing w:val="-1"/>
          <w:sz w:val="22"/>
        </w:rPr>
        <w:t> </w:t>
      </w:r>
      <w:r>
        <w:rPr>
          <w:i/>
          <w:sz w:val="22"/>
        </w:rPr>
        <w:t>bière</w:t>
      </w:r>
      <w:r>
        <w:rPr>
          <w:i/>
          <w:spacing w:val="-3"/>
          <w:sz w:val="22"/>
        </w:rPr>
        <w:t> </w:t>
      </w:r>
      <w:r>
        <w:rPr>
          <w:i/>
          <w:sz w:val="22"/>
        </w:rPr>
        <w:t>de</w:t>
      </w:r>
      <w:r>
        <w:rPr>
          <w:i/>
          <w:spacing w:val="-1"/>
          <w:sz w:val="22"/>
        </w:rPr>
        <w:t> </w:t>
      </w:r>
      <w:r>
        <w:rPr>
          <w:i/>
          <w:sz w:val="22"/>
        </w:rPr>
        <w:t>mil</w:t>
      </w:r>
      <w:r>
        <w:rPr>
          <w:i/>
          <w:spacing w:val="-1"/>
          <w:sz w:val="22"/>
        </w:rPr>
        <w:t> </w:t>
      </w:r>
      <w:r>
        <w:rPr>
          <w:i/>
          <w:sz w:val="22"/>
        </w:rPr>
        <w:t>pour</w:t>
      </w:r>
      <w:r>
        <w:rPr>
          <w:i/>
          <w:spacing w:val="-1"/>
          <w:sz w:val="22"/>
        </w:rPr>
        <w:t> </w:t>
      </w:r>
      <w:r>
        <w:rPr>
          <w:i/>
          <w:sz w:val="22"/>
        </w:rPr>
        <w:t>tremper</w:t>
      </w:r>
      <w:r>
        <w:rPr>
          <w:i/>
          <w:spacing w:val="-4"/>
          <w:sz w:val="22"/>
        </w:rPr>
        <w:t> </w:t>
      </w:r>
      <w:r>
        <w:rPr>
          <w:i/>
          <w:sz w:val="22"/>
        </w:rPr>
        <w:t>ton</w:t>
      </w:r>
      <w:r>
        <w:rPr>
          <w:i/>
          <w:spacing w:val="-3"/>
          <w:sz w:val="22"/>
        </w:rPr>
        <w:t> </w:t>
      </w:r>
      <w:r>
        <w:rPr>
          <w:i/>
          <w:sz w:val="22"/>
        </w:rPr>
        <w:t>bœuf</w:t>
      </w:r>
      <w:r>
        <w:rPr>
          <w:i/>
          <w:spacing w:val="-1"/>
          <w:sz w:val="22"/>
        </w:rPr>
        <w:t> </w:t>
      </w:r>
      <w:r>
        <w:rPr>
          <w:i/>
          <w:spacing w:val="-10"/>
          <w:sz w:val="22"/>
        </w:rPr>
        <w:t>?</w:t>
      </w:r>
    </w:p>
    <w:p>
      <w:pPr>
        <w:pStyle w:val="BodyText"/>
        <w:spacing w:line="276" w:lineRule="auto" w:before="120"/>
        <w:ind w:right="1153"/>
        <w:jc w:val="both"/>
      </w:pPr>
      <w:r>
        <w:rPr/>
        <w:t>Par</w:t>
      </w:r>
      <w:r>
        <w:rPr>
          <w:spacing w:val="40"/>
        </w:rPr>
        <w:t> </w:t>
      </w:r>
      <w:r>
        <w:rPr/>
        <w:t>ailleurs, c’est</w:t>
      </w:r>
      <w:r>
        <w:rPr>
          <w:spacing w:val="40"/>
        </w:rPr>
        <w:t> </w:t>
      </w:r>
      <w:r>
        <w:rPr/>
        <w:t>le</w:t>
      </w:r>
      <w:r>
        <w:rPr>
          <w:spacing w:val="40"/>
        </w:rPr>
        <w:t> </w:t>
      </w:r>
      <w:r>
        <w:rPr/>
        <w:t>segment modal qui</w:t>
      </w:r>
      <w:r>
        <w:rPr>
          <w:spacing w:val="40"/>
        </w:rPr>
        <w:t> </w:t>
      </w:r>
      <w:r>
        <w:rPr/>
        <w:t>définit la</w:t>
      </w:r>
      <w:r>
        <w:rPr>
          <w:spacing w:val="40"/>
        </w:rPr>
        <w:t> </w:t>
      </w:r>
      <w:r>
        <w:rPr/>
        <w:t>nature de</w:t>
      </w:r>
      <w:r>
        <w:rPr>
          <w:spacing w:val="40"/>
        </w:rPr>
        <w:t> </w:t>
      </w:r>
      <w:r>
        <w:rPr/>
        <w:t>la</w:t>
      </w:r>
      <w:r>
        <w:rPr>
          <w:spacing w:val="40"/>
        </w:rPr>
        <w:t> </w:t>
      </w:r>
      <w:r>
        <w:rPr/>
        <w:t>modalité emphatique incidente à l’énoncé. La structure de l’énoncé comprend, ainsi, trois parties : la modalité, le thème et le rhème. Elles sont représentées par :</w:t>
      </w:r>
    </w:p>
    <w:p>
      <w:pPr>
        <w:spacing w:line="252" w:lineRule="exact" w:before="120"/>
        <w:ind w:left="1851" w:right="0" w:firstLine="0"/>
        <w:jc w:val="left"/>
        <w:rPr>
          <w:i/>
          <w:sz w:val="22"/>
        </w:rPr>
      </w:pPr>
      <w:r>
        <w:rPr>
          <w:i/>
          <w:sz w:val="22"/>
        </w:rPr>
        <w:t>-le</w:t>
      </w:r>
      <w:r>
        <w:rPr>
          <w:i/>
          <w:spacing w:val="-3"/>
          <w:sz w:val="22"/>
        </w:rPr>
        <w:t> </w:t>
      </w:r>
      <w:r>
        <w:rPr>
          <w:i/>
          <w:sz w:val="22"/>
        </w:rPr>
        <w:t>segment</w:t>
      </w:r>
      <w:r>
        <w:rPr>
          <w:i/>
          <w:spacing w:val="-2"/>
          <w:sz w:val="22"/>
        </w:rPr>
        <w:t> </w:t>
      </w:r>
      <w:r>
        <w:rPr>
          <w:i/>
          <w:sz w:val="22"/>
        </w:rPr>
        <w:t>modal</w:t>
      </w:r>
      <w:r>
        <w:rPr>
          <w:i/>
          <w:spacing w:val="-2"/>
          <w:sz w:val="22"/>
        </w:rPr>
        <w:t> </w:t>
      </w:r>
      <w:r>
        <w:rPr>
          <w:i/>
          <w:sz w:val="22"/>
        </w:rPr>
        <w:t>:</w:t>
      </w:r>
      <w:r>
        <w:rPr>
          <w:i/>
          <w:spacing w:val="-3"/>
          <w:sz w:val="22"/>
        </w:rPr>
        <w:t> </w:t>
      </w:r>
      <w:r>
        <w:rPr>
          <w:i/>
          <w:sz w:val="22"/>
        </w:rPr>
        <w:t>Esclave</w:t>
      </w:r>
      <w:r>
        <w:rPr>
          <w:i/>
          <w:spacing w:val="-1"/>
          <w:sz w:val="22"/>
        </w:rPr>
        <w:t> </w:t>
      </w:r>
      <w:r>
        <w:rPr>
          <w:i/>
          <w:sz w:val="22"/>
        </w:rPr>
        <w:t>Bobo</w:t>
      </w:r>
      <w:r>
        <w:rPr>
          <w:i/>
          <w:spacing w:val="-2"/>
          <w:sz w:val="22"/>
        </w:rPr>
        <w:t> </w:t>
      </w:r>
      <w:r>
        <w:rPr>
          <w:i/>
          <w:sz w:val="22"/>
        </w:rPr>
        <w:t>/Esclave</w:t>
      </w:r>
      <w:r>
        <w:rPr>
          <w:i/>
          <w:spacing w:val="-4"/>
          <w:sz w:val="22"/>
        </w:rPr>
        <w:t> peul</w:t>
      </w:r>
    </w:p>
    <w:p>
      <w:pPr>
        <w:spacing w:line="252" w:lineRule="exact" w:before="0"/>
        <w:ind w:left="1851" w:right="0" w:firstLine="0"/>
        <w:jc w:val="left"/>
        <w:rPr>
          <w:i/>
          <w:sz w:val="22"/>
        </w:rPr>
      </w:pPr>
      <w:r>
        <w:rPr>
          <w:i/>
          <w:sz w:val="22"/>
        </w:rPr>
        <w:t>-le</w:t>
      </w:r>
      <w:r>
        <w:rPr>
          <w:i/>
          <w:spacing w:val="-3"/>
          <w:sz w:val="22"/>
        </w:rPr>
        <w:t> </w:t>
      </w:r>
      <w:r>
        <w:rPr>
          <w:i/>
          <w:sz w:val="22"/>
        </w:rPr>
        <w:t>thème : (Est-ce</w:t>
      </w:r>
      <w:r>
        <w:rPr>
          <w:i/>
          <w:spacing w:val="-3"/>
          <w:sz w:val="22"/>
        </w:rPr>
        <w:t> </w:t>
      </w:r>
      <w:r>
        <w:rPr>
          <w:i/>
          <w:sz w:val="22"/>
        </w:rPr>
        <w:t>que)</w:t>
      </w:r>
      <w:r>
        <w:rPr>
          <w:i/>
          <w:spacing w:val="-3"/>
          <w:sz w:val="22"/>
        </w:rPr>
        <w:t> </w:t>
      </w:r>
      <w:r>
        <w:rPr>
          <w:i/>
          <w:spacing w:val="-4"/>
          <w:sz w:val="22"/>
        </w:rPr>
        <w:t>je/Tu</w:t>
      </w:r>
    </w:p>
    <w:p>
      <w:pPr>
        <w:spacing w:before="1"/>
        <w:ind w:left="1851" w:right="902" w:firstLine="0"/>
        <w:jc w:val="left"/>
        <w:rPr>
          <w:i/>
          <w:sz w:val="22"/>
        </w:rPr>
      </w:pPr>
      <w:r>
        <w:rPr>
          <w:i/>
          <w:sz w:val="22"/>
        </w:rPr>
        <w:t>-le</w:t>
      </w:r>
      <w:r>
        <w:rPr>
          <w:i/>
          <w:spacing w:val="30"/>
          <w:sz w:val="22"/>
        </w:rPr>
        <w:t> </w:t>
      </w:r>
      <w:r>
        <w:rPr>
          <w:i/>
          <w:sz w:val="22"/>
        </w:rPr>
        <w:t>rhème</w:t>
      </w:r>
      <w:r>
        <w:rPr>
          <w:i/>
          <w:spacing w:val="30"/>
          <w:sz w:val="22"/>
        </w:rPr>
        <w:t> </w:t>
      </w:r>
      <w:r>
        <w:rPr>
          <w:i/>
          <w:sz w:val="22"/>
        </w:rPr>
        <w:t>:</w:t>
      </w:r>
      <w:r>
        <w:rPr>
          <w:i/>
          <w:spacing w:val="30"/>
          <w:sz w:val="22"/>
        </w:rPr>
        <w:t> </w:t>
      </w:r>
      <w:r>
        <w:rPr>
          <w:i/>
          <w:sz w:val="22"/>
        </w:rPr>
        <w:t>te</w:t>
      </w:r>
      <w:r>
        <w:rPr>
          <w:i/>
          <w:spacing w:val="30"/>
          <w:sz w:val="22"/>
        </w:rPr>
        <w:t> </w:t>
      </w:r>
      <w:r>
        <w:rPr>
          <w:i/>
          <w:sz w:val="22"/>
        </w:rPr>
        <w:t>propose</w:t>
      </w:r>
      <w:r>
        <w:rPr>
          <w:i/>
          <w:spacing w:val="30"/>
          <w:sz w:val="22"/>
        </w:rPr>
        <w:t> </w:t>
      </w:r>
      <w:r>
        <w:rPr>
          <w:i/>
          <w:sz w:val="22"/>
        </w:rPr>
        <w:t>de</w:t>
      </w:r>
      <w:r>
        <w:rPr>
          <w:i/>
          <w:spacing w:val="29"/>
          <w:sz w:val="22"/>
        </w:rPr>
        <w:t> </w:t>
      </w:r>
      <w:r>
        <w:rPr>
          <w:i/>
          <w:sz w:val="22"/>
        </w:rPr>
        <w:t>la</w:t>
      </w:r>
      <w:r>
        <w:rPr>
          <w:i/>
          <w:spacing w:val="31"/>
          <w:sz w:val="22"/>
        </w:rPr>
        <w:t> </w:t>
      </w:r>
      <w:r>
        <w:rPr>
          <w:i/>
          <w:sz w:val="22"/>
        </w:rPr>
        <w:t>bière</w:t>
      </w:r>
      <w:r>
        <w:rPr>
          <w:i/>
          <w:spacing w:val="30"/>
          <w:sz w:val="22"/>
        </w:rPr>
        <w:t> </w:t>
      </w:r>
      <w:r>
        <w:rPr>
          <w:i/>
          <w:sz w:val="22"/>
        </w:rPr>
        <w:t>de</w:t>
      </w:r>
      <w:r>
        <w:rPr>
          <w:i/>
          <w:spacing w:val="30"/>
          <w:sz w:val="22"/>
        </w:rPr>
        <w:t> </w:t>
      </w:r>
      <w:r>
        <w:rPr>
          <w:i/>
          <w:sz w:val="22"/>
        </w:rPr>
        <w:t>mil</w:t>
      </w:r>
      <w:r>
        <w:rPr>
          <w:i/>
          <w:spacing w:val="29"/>
          <w:sz w:val="22"/>
        </w:rPr>
        <w:t> </w:t>
      </w:r>
      <w:r>
        <w:rPr>
          <w:i/>
          <w:sz w:val="22"/>
        </w:rPr>
        <w:t>pour</w:t>
      </w:r>
      <w:r>
        <w:rPr>
          <w:i/>
          <w:spacing w:val="29"/>
          <w:sz w:val="22"/>
        </w:rPr>
        <w:t> </w:t>
      </w:r>
      <w:r>
        <w:rPr>
          <w:i/>
          <w:sz w:val="22"/>
        </w:rPr>
        <w:t>tremper</w:t>
      </w:r>
      <w:r>
        <w:rPr>
          <w:i/>
          <w:spacing w:val="29"/>
          <w:sz w:val="22"/>
        </w:rPr>
        <w:t> </w:t>
      </w:r>
      <w:r>
        <w:rPr>
          <w:i/>
          <w:sz w:val="22"/>
        </w:rPr>
        <w:t>ton</w:t>
      </w:r>
      <w:r>
        <w:rPr>
          <w:i/>
          <w:spacing w:val="29"/>
          <w:sz w:val="22"/>
        </w:rPr>
        <w:t> </w:t>
      </w:r>
      <w:r>
        <w:rPr>
          <w:i/>
          <w:sz w:val="22"/>
        </w:rPr>
        <w:t>bœuf</w:t>
      </w:r>
      <w:r>
        <w:rPr>
          <w:i/>
          <w:spacing w:val="31"/>
          <w:sz w:val="22"/>
        </w:rPr>
        <w:t> </w:t>
      </w:r>
      <w:r>
        <w:rPr>
          <w:i/>
          <w:sz w:val="22"/>
        </w:rPr>
        <w:t>?</w:t>
      </w:r>
      <w:r>
        <w:rPr>
          <w:i/>
          <w:spacing w:val="29"/>
          <w:sz w:val="22"/>
        </w:rPr>
        <w:t> </w:t>
      </w:r>
      <w:r>
        <w:rPr>
          <w:i/>
          <w:sz w:val="22"/>
        </w:rPr>
        <w:t>/veux</w:t>
      </w:r>
      <w:r>
        <w:rPr>
          <w:i/>
          <w:spacing w:val="29"/>
          <w:sz w:val="22"/>
        </w:rPr>
        <w:t> </w:t>
      </w:r>
      <w:r>
        <w:rPr>
          <w:i/>
          <w:sz w:val="22"/>
        </w:rPr>
        <w:t>du</w:t>
      </w:r>
      <w:r>
        <w:rPr>
          <w:i/>
          <w:spacing w:val="29"/>
          <w:sz w:val="22"/>
        </w:rPr>
        <w:t> </w:t>
      </w:r>
      <w:r>
        <w:rPr>
          <w:i/>
          <w:sz w:val="22"/>
        </w:rPr>
        <w:t>lait</w:t>
      </w:r>
      <w:r>
        <w:rPr>
          <w:i/>
          <w:spacing w:val="31"/>
          <w:sz w:val="22"/>
        </w:rPr>
        <w:t> </w:t>
      </w:r>
      <w:r>
        <w:rPr>
          <w:i/>
          <w:sz w:val="22"/>
        </w:rPr>
        <w:t>pour tremper ta chenille.</w:t>
      </w:r>
    </w:p>
    <w:p>
      <w:pPr>
        <w:pStyle w:val="BodyText"/>
        <w:spacing w:line="276" w:lineRule="auto" w:before="124"/>
        <w:ind w:right="1151"/>
        <w:jc w:val="both"/>
      </w:pPr>
      <w:r>
        <w:rPr>
          <w:rFonts w:ascii="Calibri" w:hAnsi="Calibri"/>
        </w:rPr>
        <w:t>Le segment modal est le marquage de la thématisation de l’objet du sanankounya. Il est repris par un indice de sujet incorporé au noyau verbal (tu/te). Le signifiant de ce marquage est la virgule. </w:t>
      </w:r>
      <w:r>
        <w:rPr/>
        <w:t>Cette dislocature n’empêche nullement les liens intonatifs et syntaxiques entre les indices de modalité, le thème et le rhème. Ces constituants discursifs s’enchaînent dans un ordre</w:t>
      </w:r>
      <w:r>
        <w:rPr>
          <w:spacing w:val="-1"/>
        </w:rPr>
        <w:t> </w:t>
      </w:r>
      <w:r>
        <w:rPr/>
        <w:t>contraint. En outre, l’intonation interrogative, dans le contexte</w:t>
      </w:r>
      <w:r>
        <w:rPr>
          <w:spacing w:val="-2"/>
        </w:rPr>
        <w:t> </w:t>
      </w:r>
      <w:r>
        <w:rPr/>
        <w:t>de la plaisanterie, est une pseudo- interrogation. Sa signification pragmatique est de dire que le Bobo est consommateur de chenille dont l’assaisonnement peut être relevé par</w:t>
      </w:r>
      <w:r>
        <w:rPr>
          <w:spacing w:val="-2"/>
        </w:rPr>
        <w:t> </w:t>
      </w:r>
      <w:r>
        <w:rPr/>
        <w:t>le lait, supposé</w:t>
      </w:r>
      <w:r>
        <w:rPr>
          <w:spacing w:val="-2"/>
        </w:rPr>
        <w:t> </w:t>
      </w:r>
      <w:r>
        <w:rPr/>
        <w:t>être de</w:t>
      </w:r>
      <w:r>
        <w:rPr>
          <w:spacing w:val="-2"/>
        </w:rPr>
        <w:t> </w:t>
      </w:r>
      <w:r>
        <w:rPr/>
        <w:t>meilleure</w:t>
      </w:r>
      <w:r>
        <w:rPr>
          <w:spacing w:val="-3"/>
        </w:rPr>
        <w:t> </w:t>
      </w:r>
      <w:r>
        <w:rPr/>
        <w:t>qualité nutritive. La réplique signifie que la bière de mil vaut mieux que le lait.</w:t>
      </w:r>
    </w:p>
    <w:p>
      <w:pPr>
        <w:pStyle w:val="BodyText"/>
        <w:spacing w:line="276" w:lineRule="auto" w:before="116"/>
        <w:ind w:right="1150"/>
        <w:jc w:val="both"/>
      </w:pPr>
      <w:r>
        <w:rPr/>
        <w:t>En effet, il</w:t>
      </w:r>
      <w:r>
        <w:rPr>
          <w:spacing w:val="40"/>
        </w:rPr>
        <w:t> </w:t>
      </w:r>
      <w:r>
        <w:rPr/>
        <w:t>y a</w:t>
      </w:r>
      <w:r>
        <w:rPr>
          <w:spacing w:val="40"/>
        </w:rPr>
        <w:t> </w:t>
      </w:r>
      <w:r>
        <w:rPr/>
        <w:t>un mécanisme de</w:t>
      </w:r>
      <w:r>
        <w:rPr>
          <w:spacing w:val="40"/>
        </w:rPr>
        <w:t> </w:t>
      </w:r>
      <w:r>
        <w:rPr/>
        <w:t>transposition au</w:t>
      </w:r>
      <w:r>
        <w:rPr>
          <w:spacing w:val="40"/>
        </w:rPr>
        <w:t> </w:t>
      </w:r>
      <w:r>
        <w:rPr/>
        <w:t>sens de Bergson, mais alors excessive, hyperbolique qui permet de déterminer les termes chenille, lait et bière de mil et bœuf comme des présupposés rattachés aux communautés Bobo (chenille/bière de mil) et Peul (lait/bœuf). Ces</w:t>
      </w:r>
      <w:r>
        <w:rPr>
          <w:spacing w:val="32"/>
        </w:rPr>
        <w:t> </w:t>
      </w:r>
      <w:r>
        <w:rPr/>
        <w:t>énoncés</w:t>
      </w:r>
      <w:r>
        <w:rPr>
          <w:spacing w:val="32"/>
        </w:rPr>
        <w:t> </w:t>
      </w:r>
      <w:r>
        <w:rPr/>
        <w:t>explicitent</w:t>
      </w:r>
      <w:r>
        <w:rPr>
          <w:spacing w:val="30"/>
        </w:rPr>
        <w:t> </w:t>
      </w:r>
      <w:r>
        <w:rPr/>
        <w:t>une</w:t>
      </w:r>
      <w:r>
        <w:rPr>
          <w:spacing w:val="32"/>
        </w:rPr>
        <w:t> </w:t>
      </w:r>
      <w:r>
        <w:rPr/>
        <w:t>figure</w:t>
      </w:r>
      <w:r>
        <w:rPr>
          <w:spacing w:val="30"/>
        </w:rPr>
        <w:t> </w:t>
      </w:r>
      <w:r>
        <w:rPr/>
        <w:t>du</w:t>
      </w:r>
      <w:r>
        <w:rPr>
          <w:spacing w:val="32"/>
        </w:rPr>
        <w:t> </w:t>
      </w:r>
      <w:r>
        <w:rPr/>
        <w:t>dialogisme</w:t>
      </w:r>
      <w:r>
        <w:rPr>
          <w:spacing w:val="33"/>
        </w:rPr>
        <w:t> </w:t>
      </w:r>
      <w:r>
        <w:rPr/>
        <w:t>selon</w:t>
      </w:r>
      <w:r>
        <w:rPr>
          <w:spacing w:val="32"/>
        </w:rPr>
        <w:t> </w:t>
      </w:r>
      <w:r>
        <w:rPr/>
        <w:t>la</w:t>
      </w:r>
      <w:r>
        <w:rPr>
          <w:spacing w:val="34"/>
        </w:rPr>
        <w:t> </w:t>
      </w:r>
      <w:r>
        <w:rPr/>
        <w:t>vision</w:t>
      </w:r>
      <w:r>
        <w:rPr>
          <w:spacing w:val="32"/>
        </w:rPr>
        <w:t> </w:t>
      </w:r>
      <w:r>
        <w:rPr/>
        <w:t>de</w:t>
      </w:r>
      <w:r>
        <w:rPr>
          <w:spacing w:val="32"/>
        </w:rPr>
        <w:t> </w:t>
      </w:r>
      <w:r>
        <w:rPr/>
        <w:t>Bakhtine</w:t>
      </w:r>
      <w:r>
        <w:rPr>
          <w:vertAlign w:val="superscript"/>
        </w:rPr>
        <w:t>5</w:t>
      </w:r>
      <w:r>
        <w:rPr>
          <w:vertAlign w:val="baseline"/>
        </w:rPr>
        <w:t>qui</w:t>
      </w:r>
      <w:r>
        <w:rPr>
          <w:spacing w:val="32"/>
          <w:vertAlign w:val="baseline"/>
        </w:rPr>
        <w:t> </w:t>
      </w:r>
      <w:r>
        <w:rPr>
          <w:spacing w:val="-2"/>
          <w:vertAlign w:val="baseline"/>
        </w:rPr>
        <w:t>implique</w:t>
      </w:r>
    </w:p>
    <w:p>
      <w:pPr>
        <w:pStyle w:val="BodyText"/>
        <w:spacing w:before="42"/>
        <w:ind w:left="0"/>
        <w:rPr>
          <w:sz w:val="20"/>
        </w:rPr>
      </w:pPr>
      <w:r>
        <w:rPr/>
        <mc:AlternateContent>
          <mc:Choice Requires="wps">
            <w:drawing>
              <wp:anchor distT="0" distB="0" distL="0" distR="0" allowOverlap="1" layoutInCell="1" locked="0" behindDoc="1" simplePos="0" relativeHeight="487590912">
                <wp:simplePos x="0" y="0"/>
                <wp:positionH relativeFrom="page">
                  <wp:posOffset>900683</wp:posOffset>
                </wp:positionH>
                <wp:positionV relativeFrom="paragraph">
                  <wp:posOffset>188575</wp:posOffset>
                </wp:positionV>
                <wp:extent cx="1828800" cy="9525"/>
                <wp:effectExtent l="0" t="0" r="0" b="0"/>
                <wp:wrapTopAndBottom/>
                <wp:docPr id="13" name="Graphic 13"/>
                <wp:cNvGraphicFramePr>
                  <a:graphicFrameLocks/>
                </wp:cNvGraphicFramePr>
                <a:graphic>
                  <a:graphicData uri="http://schemas.microsoft.com/office/word/2010/wordprocessingShape">
                    <wps:wsp>
                      <wps:cNvPr id="13" name="Graphic 13"/>
                      <wps:cNvSpPr/>
                      <wps:spPr>
                        <a:xfrm>
                          <a:off x="0" y="0"/>
                          <a:ext cx="1828800" cy="9525"/>
                        </a:xfrm>
                        <a:custGeom>
                          <a:avLst/>
                          <a:gdLst/>
                          <a:ahLst/>
                          <a:cxnLst/>
                          <a:rect l="l" t="t" r="r" b="b"/>
                          <a:pathLst>
                            <a:path w="1828800" h="9525">
                              <a:moveTo>
                                <a:pt x="1828800" y="9143"/>
                              </a:moveTo>
                              <a:lnTo>
                                <a:pt x="0" y="9143"/>
                              </a:lnTo>
                              <a:lnTo>
                                <a:pt x="0" y="0"/>
                              </a:lnTo>
                              <a:lnTo>
                                <a:pt x="1828800" y="0"/>
                              </a:lnTo>
                              <a:lnTo>
                                <a:pt x="1828800" y="9143"/>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70.919998pt;margin-top:14.848428pt;width:144.0pt;height:.719971pt;mso-position-horizontal-relative:page;mso-position-vertical-relative:paragraph;z-index:-15725568;mso-wrap-distance-left:0;mso-wrap-distance-right:0" id="docshape11" filled="true" fillcolor="#000000" stroked="false">
                <v:fill type="solid"/>
                <w10:wrap type="topAndBottom"/>
              </v:rect>
            </w:pict>
          </mc:Fallback>
        </mc:AlternateContent>
      </w:r>
    </w:p>
    <w:p>
      <w:pPr>
        <w:spacing w:line="247" w:lineRule="auto" w:before="119"/>
        <w:ind w:left="718" w:right="902" w:firstLine="0"/>
        <w:jc w:val="left"/>
        <w:rPr>
          <w:rFonts w:ascii="Calibri" w:hAnsi="Calibri"/>
          <w:sz w:val="20"/>
        </w:rPr>
      </w:pPr>
      <w:r>
        <w:rPr>
          <w:rFonts w:ascii="Calibri" w:hAnsi="Calibri"/>
          <w:sz w:val="20"/>
          <w:vertAlign w:val="superscript"/>
        </w:rPr>
        <w:t>5</w:t>
      </w:r>
      <w:r>
        <w:rPr>
          <w:rFonts w:ascii="Calibri" w:hAnsi="Calibri"/>
          <w:sz w:val="20"/>
          <w:vertAlign w:val="baseline"/>
        </w:rPr>
        <w:t> Le </w:t>
      </w:r>
      <w:r>
        <w:rPr>
          <w:rFonts w:ascii="Calibri" w:hAnsi="Calibri"/>
          <w:i/>
          <w:sz w:val="20"/>
          <w:vertAlign w:val="baseline"/>
        </w:rPr>
        <w:t>dialogisme</w:t>
      </w:r>
      <w:r>
        <w:rPr>
          <w:rFonts w:ascii="Calibri" w:hAnsi="Calibri"/>
          <w:sz w:val="20"/>
          <w:vertAlign w:val="baseline"/>
        </w:rPr>
        <w:t>, au sens de Bakhtine, concerne le discours en général. Il désigne les formes de la présence de</w:t>
      </w:r>
      <w:r>
        <w:rPr>
          <w:rFonts w:ascii="Calibri" w:hAnsi="Calibri"/>
          <w:spacing w:val="40"/>
          <w:sz w:val="20"/>
          <w:vertAlign w:val="baseline"/>
        </w:rPr>
        <w:t> </w:t>
      </w:r>
      <w:r>
        <w:rPr>
          <w:rFonts w:ascii="Calibri" w:hAnsi="Calibri"/>
          <w:sz w:val="20"/>
          <w:vertAlign w:val="baseline"/>
        </w:rPr>
        <w:t>l'autre dans le discours.</w:t>
      </w:r>
    </w:p>
    <w:p>
      <w:pPr>
        <w:spacing w:after="0" w:line="247" w:lineRule="auto"/>
        <w:jc w:val="left"/>
        <w:rPr>
          <w:rFonts w:ascii="Calibri" w:hAnsi="Calibri"/>
          <w:sz w:val="20"/>
        </w:rPr>
        <w:sectPr>
          <w:pgSz w:w="11910" w:h="16840"/>
          <w:pgMar w:header="0" w:footer="1005" w:top="840" w:bottom="1200" w:left="700" w:right="260"/>
        </w:sectPr>
      </w:pPr>
    </w:p>
    <w:p>
      <w:pPr>
        <w:pStyle w:val="BodyText"/>
        <w:spacing w:line="276" w:lineRule="auto" w:before="271"/>
        <w:ind w:right="1152"/>
        <w:jc w:val="both"/>
      </w:pPr>
      <w:r>
        <w:rPr/>
        <w:t>une </w:t>
      </w:r>
      <w:r>
        <w:rPr>
          <w:i/>
        </w:rPr>
        <w:t>anthropologie</w:t>
      </w:r>
      <w:r>
        <w:rPr>
          <w:i/>
          <w:spacing w:val="40"/>
        </w:rPr>
        <w:t> </w:t>
      </w:r>
      <w:r>
        <w:rPr>
          <w:i/>
        </w:rPr>
        <w:t>de</w:t>
      </w:r>
      <w:r>
        <w:rPr>
          <w:i/>
          <w:spacing w:val="40"/>
        </w:rPr>
        <w:t> </w:t>
      </w:r>
      <w:r>
        <w:rPr>
          <w:i/>
        </w:rPr>
        <w:t>l'altérité :</w:t>
      </w:r>
      <w:r>
        <w:rPr>
          <w:i/>
          <w:spacing w:val="40"/>
        </w:rPr>
        <w:t> </w:t>
      </w:r>
      <w:r>
        <w:rPr/>
        <w:t>les</w:t>
      </w:r>
      <w:r>
        <w:rPr>
          <w:spacing w:val="40"/>
        </w:rPr>
        <w:t> </w:t>
      </w:r>
      <w:r>
        <w:rPr/>
        <w:t>indices</w:t>
      </w:r>
      <w:r>
        <w:rPr>
          <w:spacing w:val="40"/>
        </w:rPr>
        <w:t> </w:t>
      </w:r>
      <w:r>
        <w:rPr/>
        <w:t>contextuels</w:t>
      </w:r>
      <w:r>
        <w:rPr>
          <w:spacing w:val="40"/>
        </w:rPr>
        <w:t> </w:t>
      </w:r>
      <w:r>
        <w:rPr/>
        <w:t>évoquent</w:t>
      </w:r>
      <w:r>
        <w:rPr>
          <w:spacing w:val="40"/>
        </w:rPr>
        <w:t> </w:t>
      </w:r>
      <w:r>
        <w:rPr/>
        <w:t>les</w:t>
      </w:r>
      <w:r>
        <w:rPr>
          <w:spacing w:val="40"/>
        </w:rPr>
        <w:t> </w:t>
      </w:r>
      <w:r>
        <w:rPr/>
        <w:t>identités socioculturelles</w:t>
      </w:r>
      <w:r>
        <w:rPr>
          <w:spacing w:val="-3"/>
        </w:rPr>
        <w:t> </w:t>
      </w:r>
      <w:r>
        <w:rPr/>
        <w:t>d’autrui. Ce</w:t>
      </w:r>
      <w:r>
        <w:rPr>
          <w:spacing w:val="-3"/>
        </w:rPr>
        <w:t> </w:t>
      </w:r>
      <w:r>
        <w:rPr/>
        <w:t>dialogisme</w:t>
      </w:r>
      <w:r>
        <w:rPr>
          <w:spacing w:val="-6"/>
        </w:rPr>
        <w:t> </w:t>
      </w:r>
      <w:r>
        <w:rPr/>
        <w:t>qui</w:t>
      </w:r>
      <w:r>
        <w:rPr>
          <w:spacing w:val="-1"/>
        </w:rPr>
        <w:t> </w:t>
      </w:r>
      <w:r>
        <w:rPr/>
        <w:t>transcende</w:t>
      </w:r>
      <w:r>
        <w:rPr>
          <w:spacing w:val="-6"/>
        </w:rPr>
        <w:t> </w:t>
      </w:r>
      <w:r>
        <w:rPr/>
        <w:t>la</w:t>
      </w:r>
      <w:r>
        <w:rPr>
          <w:spacing w:val="-2"/>
        </w:rPr>
        <w:t> </w:t>
      </w:r>
      <w:r>
        <w:rPr/>
        <w:t>personne</w:t>
      </w:r>
      <w:r>
        <w:rPr>
          <w:spacing w:val="-3"/>
        </w:rPr>
        <w:t> </w:t>
      </w:r>
      <w:r>
        <w:rPr/>
        <w:t>va</w:t>
      </w:r>
      <w:r>
        <w:rPr>
          <w:spacing w:val="-1"/>
        </w:rPr>
        <w:t> </w:t>
      </w:r>
      <w:r>
        <w:rPr/>
        <w:t>être</w:t>
      </w:r>
      <w:r>
        <w:rPr>
          <w:spacing w:val="-6"/>
        </w:rPr>
        <w:t> </w:t>
      </w:r>
      <w:r>
        <w:rPr/>
        <w:t>traduit</w:t>
      </w:r>
      <w:r>
        <w:rPr>
          <w:spacing w:val="-3"/>
        </w:rPr>
        <w:t> </w:t>
      </w:r>
      <w:r>
        <w:rPr/>
        <w:t>par</w:t>
      </w:r>
      <w:r>
        <w:rPr>
          <w:spacing w:val="-3"/>
        </w:rPr>
        <w:t> </w:t>
      </w:r>
      <w:r>
        <w:rPr/>
        <w:t>Kristeva par la notion d’“intertextualité” (Kristeva 1969 ; 1971) pour désigner l’échange de répliques entre deux interlocuteurs. La (re) construction du sens dépend donc de la compétence des sujets parlants.</w:t>
      </w:r>
    </w:p>
    <w:p>
      <w:pPr>
        <w:pStyle w:val="BodyText"/>
        <w:spacing w:line="276" w:lineRule="auto" w:before="119"/>
        <w:ind w:right="1152"/>
        <w:jc w:val="both"/>
      </w:pPr>
      <w:r>
        <w:rPr/>
        <w:t>Par ailleurs, la compréhension et l’interprétation des variables indiciels rattachés au régime alimentaire</w:t>
      </w:r>
      <w:r>
        <w:rPr>
          <w:spacing w:val="40"/>
        </w:rPr>
        <w:t>  </w:t>
      </w:r>
      <w:r>
        <w:rPr/>
        <w:t>des</w:t>
      </w:r>
      <w:r>
        <w:rPr>
          <w:spacing w:val="40"/>
        </w:rPr>
        <w:t>  </w:t>
      </w:r>
      <w:r>
        <w:rPr/>
        <w:t>interlocuteurs</w:t>
      </w:r>
      <w:r>
        <w:rPr>
          <w:spacing w:val="40"/>
        </w:rPr>
        <w:t>  </w:t>
      </w:r>
      <w:r>
        <w:rPr/>
        <w:t>nécessitent</w:t>
      </w:r>
      <w:r>
        <w:rPr>
          <w:spacing w:val="40"/>
        </w:rPr>
        <w:t>  </w:t>
      </w:r>
      <w:r>
        <w:rPr/>
        <w:t>une</w:t>
      </w:r>
      <w:r>
        <w:rPr>
          <w:spacing w:val="40"/>
        </w:rPr>
        <w:t>  </w:t>
      </w:r>
      <w:r>
        <w:rPr/>
        <w:t>compétence</w:t>
      </w:r>
      <w:r>
        <w:rPr>
          <w:spacing w:val="40"/>
        </w:rPr>
        <w:t>  </w:t>
      </w:r>
      <w:r>
        <w:rPr/>
        <w:t>rhétorico-pragmatique.</w:t>
      </w:r>
      <w:r>
        <w:rPr>
          <w:spacing w:val="80"/>
        </w:rPr>
        <w:t> </w:t>
      </w:r>
      <w:r>
        <w:rPr/>
        <w:t>Les hyperboles, qui fondent les quolibets, transgressent les maximes conversationnelles : l’ironie grinçante enfreint la maxime de quantité (Grice, Charaudeau et Maingueneau, 2002) ; les caractères excessifs, excentriques, “de la chenille dans du lait” et “du bœuf dans de la</w:t>
      </w:r>
      <w:r>
        <w:rPr>
          <w:spacing w:val="80"/>
        </w:rPr>
        <w:t> </w:t>
      </w:r>
      <w:r>
        <w:rPr/>
        <w:t>bière de mil ” forgent l’humour de part et d’autre pour amuser l’interlocuteur et modifier, justement, son humeur ; il y a également entorse à la maxime de qualité, car les propos reposent sur des contradictions. De là, naît la tonalité comique des échanges avec la tonalité ludique entretenue par la métaphore.</w:t>
      </w:r>
    </w:p>
    <w:p>
      <w:pPr>
        <w:pStyle w:val="BodyText"/>
        <w:spacing w:line="276" w:lineRule="auto" w:before="120"/>
        <w:ind w:right="1154"/>
        <w:jc w:val="both"/>
      </w:pPr>
      <w:r>
        <w:rPr/>
        <w:t>La compétence lexico-stylistique, également, intervient dans le décodage des indices de contextualisation (lait/chenille). Elle aide à déterminer unemétaphore identificatoire puisque</w:t>
      </w:r>
      <w:r>
        <w:rPr>
          <w:spacing w:val="40"/>
        </w:rPr>
        <w:t> </w:t>
      </w:r>
      <w:r>
        <w:rPr/>
        <w:t>le “lait” caractérise le Peul de la même manière que la</w:t>
      </w:r>
      <w:r>
        <w:rPr>
          <w:spacing w:val="40"/>
        </w:rPr>
        <w:t> </w:t>
      </w:r>
      <w:r>
        <w:rPr/>
        <w:t>“chenille” caractérise le</w:t>
      </w:r>
      <w:r>
        <w:rPr>
          <w:spacing w:val="40"/>
        </w:rPr>
        <w:t> </w:t>
      </w:r>
      <w:r>
        <w:rPr/>
        <w:t>Bobo. </w:t>
      </w:r>
      <w:r>
        <w:rPr/>
        <w:t>Cette métaphore met en rapport deux champs sémantiques et culturels différents qui créent un effet de comique.</w:t>
      </w:r>
    </w:p>
    <w:p>
      <w:pPr>
        <w:pStyle w:val="BodyText"/>
        <w:spacing w:line="276" w:lineRule="auto" w:before="120"/>
        <w:ind w:right="1154"/>
        <w:jc w:val="both"/>
      </w:pPr>
      <w:r>
        <w:rPr/>
        <w:t>En définitive, la ressource communicative qu’est le sanankounya revêt une dimension pragmatique et interactionnelle (Moeschler et Reboul, 1998). Celle-ci est due à des processus de contextualisation des unités linguistiques conformément à la théorie de la pertinence développée par Dan et Deirdre (1989) dans une théorie pragmatique générale. La compétence rhétorico-pragmatique des interlocuteurs produit un effet d’interdiscours avec la réplique du Bobo sous forme de mot d’esprit. Et le principe de coopération fait de cette réplique un gage de paix et de concorde.</w:t>
      </w:r>
    </w:p>
    <w:p>
      <w:pPr>
        <w:pStyle w:val="Heading1"/>
        <w:numPr>
          <w:ilvl w:val="0"/>
          <w:numId w:val="1"/>
        </w:numPr>
        <w:tabs>
          <w:tab w:pos="958" w:val="left" w:leader="none"/>
        </w:tabs>
        <w:spacing w:line="240" w:lineRule="auto" w:before="125" w:after="0"/>
        <w:ind w:left="958" w:right="0" w:hanging="240"/>
        <w:jc w:val="both"/>
      </w:pPr>
      <w:r>
        <w:rPr/>
        <w:t>Le</w:t>
      </w:r>
      <w:r>
        <w:rPr>
          <w:spacing w:val="-1"/>
        </w:rPr>
        <w:t> </w:t>
      </w:r>
      <w:r>
        <w:rPr/>
        <w:t>sanankounya,</w:t>
      </w:r>
      <w:r>
        <w:rPr>
          <w:spacing w:val="-1"/>
        </w:rPr>
        <w:t> </w:t>
      </w:r>
      <w:r>
        <w:rPr/>
        <w:t>un instrument de</w:t>
      </w:r>
      <w:r>
        <w:rPr>
          <w:spacing w:val="-1"/>
        </w:rPr>
        <w:t> </w:t>
      </w:r>
      <w:r>
        <w:rPr>
          <w:spacing w:val="-4"/>
        </w:rPr>
        <w:t>paix</w:t>
      </w:r>
    </w:p>
    <w:p>
      <w:pPr>
        <w:pStyle w:val="BodyText"/>
        <w:spacing w:line="276" w:lineRule="auto" w:before="156"/>
        <w:ind w:right="1151"/>
        <w:jc w:val="both"/>
      </w:pPr>
      <w:r>
        <w:rPr/>
        <w:t>Dans les Etats hérités de la colonisation, les sanankounya constituent un puissant facteur d’union non seulement entre les mêmes peuples séparés par les frontières, mais aussi, entre</w:t>
      </w:r>
      <w:r>
        <w:rPr>
          <w:spacing w:val="80"/>
        </w:rPr>
        <w:t> </w:t>
      </w:r>
      <w:r>
        <w:rPr/>
        <w:t>les peuples dont les destins sont unis sur le même espace étatique. Cette dernière</w:t>
      </w:r>
      <w:r>
        <w:rPr>
          <w:spacing w:val="40"/>
        </w:rPr>
        <w:t> </w:t>
      </w:r>
      <w:r>
        <w:rPr/>
        <w:t>considération s’applique à la Côte d’Ivoire où le sanankounya pourrait renforcer la cohésion entre les membres des espaces linguistiques Akan, Mandé, Krou et Gur. En effet, la coexistence de ces peuples est marquée par des mariages mixtes qui induisent des métissages. Sur</w:t>
      </w:r>
      <w:r>
        <w:rPr>
          <w:spacing w:val="-2"/>
        </w:rPr>
        <w:t> </w:t>
      </w:r>
      <w:r>
        <w:rPr/>
        <w:t>fond</w:t>
      </w:r>
      <w:r>
        <w:rPr>
          <w:spacing w:val="-2"/>
        </w:rPr>
        <w:t> </w:t>
      </w:r>
      <w:r>
        <w:rPr/>
        <w:t>de</w:t>
      </w:r>
      <w:r>
        <w:rPr>
          <w:spacing w:val="-1"/>
        </w:rPr>
        <w:t> </w:t>
      </w:r>
      <w:r>
        <w:rPr/>
        <w:t>cet</w:t>
      </w:r>
      <w:r>
        <w:rPr>
          <w:spacing w:val="-4"/>
        </w:rPr>
        <w:t> </w:t>
      </w:r>
      <w:r>
        <w:rPr/>
        <w:t>acquis,</w:t>
      </w:r>
      <w:r>
        <w:rPr>
          <w:spacing w:val="-2"/>
        </w:rPr>
        <w:t> </w:t>
      </w:r>
      <w:r>
        <w:rPr/>
        <w:t>les</w:t>
      </w:r>
      <w:r>
        <w:rPr>
          <w:spacing w:val="-2"/>
        </w:rPr>
        <w:t> </w:t>
      </w:r>
      <w:r>
        <w:rPr/>
        <w:t>relations</w:t>
      </w:r>
      <w:r>
        <w:rPr>
          <w:spacing w:val="-2"/>
        </w:rPr>
        <w:t> </w:t>
      </w:r>
      <w:r>
        <w:rPr/>
        <w:t>entre</w:t>
      </w:r>
      <w:r>
        <w:rPr>
          <w:spacing w:val="-3"/>
        </w:rPr>
        <w:t> </w:t>
      </w:r>
      <w:r>
        <w:rPr/>
        <w:t>familles alliées</w:t>
      </w:r>
      <w:r>
        <w:rPr>
          <w:spacing w:val="-5"/>
        </w:rPr>
        <w:t> </w:t>
      </w:r>
      <w:r>
        <w:rPr/>
        <w:t>doivent être</w:t>
      </w:r>
      <w:r>
        <w:rPr>
          <w:spacing w:val="-2"/>
        </w:rPr>
        <w:t> </w:t>
      </w:r>
      <w:r>
        <w:rPr/>
        <w:t>consolidées. La</w:t>
      </w:r>
      <w:r>
        <w:rPr>
          <w:spacing w:val="-1"/>
        </w:rPr>
        <w:t> </w:t>
      </w:r>
      <w:r>
        <w:rPr/>
        <w:t>vertu</w:t>
      </w:r>
      <w:r>
        <w:rPr>
          <w:spacing w:val="-2"/>
        </w:rPr>
        <w:t> </w:t>
      </w:r>
      <w:r>
        <w:rPr/>
        <w:t>du sanankounya est à prendre en compte dans les</w:t>
      </w:r>
      <w:r>
        <w:rPr>
          <w:spacing w:val="40"/>
        </w:rPr>
        <w:t> </w:t>
      </w:r>
      <w:r>
        <w:rPr/>
        <w:t>enjeux</w:t>
      </w:r>
      <w:r>
        <w:rPr>
          <w:spacing w:val="40"/>
        </w:rPr>
        <w:t> </w:t>
      </w:r>
      <w:r>
        <w:rPr/>
        <w:t>électoraux</w:t>
      </w:r>
      <w:r>
        <w:rPr>
          <w:spacing w:val="40"/>
        </w:rPr>
        <w:t> </w:t>
      </w:r>
      <w:r>
        <w:rPr/>
        <w:t>pour</w:t>
      </w:r>
      <w:r>
        <w:rPr>
          <w:spacing w:val="40"/>
        </w:rPr>
        <w:t> </w:t>
      </w:r>
      <w:r>
        <w:rPr/>
        <w:t>prévenir</w:t>
      </w:r>
      <w:r>
        <w:rPr>
          <w:spacing w:val="40"/>
        </w:rPr>
        <w:t> </w:t>
      </w:r>
      <w:r>
        <w:rPr/>
        <w:t>les</w:t>
      </w:r>
      <w:r>
        <w:rPr>
          <w:spacing w:val="40"/>
        </w:rPr>
        <w:t> </w:t>
      </w:r>
      <w:r>
        <w:rPr/>
        <w:t>conflits interethniques</w:t>
      </w:r>
      <w:r>
        <w:rPr>
          <w:spacing w:val="40"/>
        </w:rPr>
        <w:t> </w:t>
      </w:r>
      <w:r>
        <w:rPr/>
        <w:t>avant,</w:t>
      </w:r>
      <w:r>
        <w:rPr>
          <w:spacing w:val="40"/>
        </w:rPr>
        <w:t> </w:t>
      </w:r>
      <w:r>
        <w:rPr/>
        <w:t>pendant</w:t>
      </w:r>
      <w:r>
        <w:rPr>
          <w:spacing w:val="40"/>
        </w:rPr>
        <w:t> </w:t>
      </w:r>
      <w:r>
        <w:rPr/>
        <w:t>et</w:t>
      </w:r>
      <w:r>
        <w:rPr>
          <w:spacing w:val="40"/>
        </w:rPr>
        <w:t> </w:t>
      </w:r>
      <w:r>
        <w:rPr/>
        <w:t>après</w:t>
      </w:r>
      <w:r>
        <w:rPr>
          <w:spacing w:val="40"/>
        </w:rPr>
        <w:t> </w:t>
      </w:r>
      <w:r>
        <w:rPr/>
        <w:t>les élections.</w:t>
      </w:r>
    </w:p>
    <w:p>
      <w:pPr>
        <w:pStyle w:val="Heading1"/>
        <w:numPr>
          <w:ilvl w:val="1"/>
          <w:numId w:val="1"/>
        </w:numPr>
        <w:tabs>
          <w:tab w:pos="1138" w:val="left" w:leader="none"/>
        </w:tabs>
        <w:spacing w:line="240" w:lineRule="auto" w:before="127" w:after="0"/>
        <w:ind w:left="1138" w:right="0" w:hanging="420"/>
        <w:jc w:val="both"/>
      </w:pPr>
      <w:r>
        <w:rPr/>
        <w:t>Le discours du sanankounya avant les </w:t>
      </w:r>
      <w:r>
        <w:rPr>
          <w:spacing w:val="-2"/>
        </w:rPr>
        <w:t>élections</w:t>
      </w:r>
    </w:p>
    <w:p>
      <w:pPr>
        <w:pStyle w:val="BodyText"/>
        <w:spacing w:line="276" w:lineRule="auto" w:before="156"/>
        <w:ind w:right="1154"/>
        <w:jc w:val="both"/>
      </w:pPr>
      <w:r>
        <w:rPr/>
        <w:t>Il convient d'instaurer, entre les différents candidats, une alliance à plaisanterie à caractère politique fondée sur la parenté à plaisanterie et susceptible de promouvoir la non-violence. Ils se</w:t>
      </w:r>
      <w:r>
        <w:rPr>
          <w:spacing w:val="7"/>
        </w:rPr>
        <w:t> </w:t>
      </w:r>
      <w:r>
        <w:rPr/>
        <w:t>lient</w:t>
      </w:r>
      <w:r>
        <w:rPr>
          <w:spacing w:val="7"/>
        </w:rPr>
        <w:t> </w:t>
      </w:r>
      <w:r>
        <w:rPr/>
        <w:t>à</w:t>
      </w:r>
      <w:r>
        <w:rPr>
          <w:spacing w:val="9"/>
        </w:rPr>
        <w:t> </w:t>
      </w:r>
      <w:r>
        <w:rPr/>
        <w:t>un</w:t>
      </w:r>
      <w:r>
        <w:rPr>
          <w:spacing w:val="7"/>
        </w:rPr>
        <w:t> </w:t>
      </w:r>
      <w:r>
        <w:rPr/>
        <w:t>pacte</w:t>
      </w:r>
      <w:r>
        <w:rPr>
          <w:spacing w:val="9"/>
        </w:rPr>
        <w:t> </w:t>
      </w:r>
      <w:r>
        <w:rPr/>
        <w:t>sacré</w:t>
      </w:r>
      <w:r>
        <w:rPr>
          <w:spacing w:val="7"/>
        </w:rPr>
        <w:t> </w:t>
      </w:r>
      <w:r>
        <w:rPr/>
        <w:t>autour</w:t>
      </w:r>
      <w:r>
        <w:rPr>
          <w:spacing w:val="8"/>
        </w:rPr>
        <w:t> </w:t>
      </w:r>
      <w:r>
        <w:rPr/>
        <w:t>des</w:t>
      </w:r>
      <w:r>
        <w:rPr>
          <w:spacing w:val="7"/>
        </w:rPr>
        <w:t> </w:t>
      </w:r>
      <w:r>
        <w:rPr/>
        <w:t>clauses</w:t>
      </w:r>
      <w:r>
        <w:rPr>
          <w:spacing w:val="6"/>
        </w:rPr>
        <w:t> </w:t>
      </w:r>
      <w:r>
        <w:rPr/>
        <w:t>de</w:t>
      </w:r>
      <w:r>
        <w:rPr>
          <w:spacing w:val="8"/>
        </w:rPr>
        <w:t> </w:t>
      </w:r>
      <w:r>
        <w:rPr/>
        <w:t>sang,</w:t>
      </w:r>
      <w:r>
        <w:rPr>
          <w:spacing w:val="7"/>
        </w:rPr>
        <w:t> </w:t>
      </w:r>
      <w:r>
        <w:rPr/>
        <w:t>de</w:t>
      </w:r>
      <w:r>
        <w:rPr>
          <w:spacing w:val="5"/>
        </w:rPr>
        <w:t> </w:t>
      </w:r>
      <w:r>
        <w:rPr/>
        <w:t>sacrifice</w:t>
      </w:r>
      <w:r>
        <w:rPr>
          <w:spacing w:val="3"/>
        </w:rPr>
        <w:t> </w:t>
      </w:r>
      <w:r>
        <w:rPr/>
        <w:t>d’animal,</w:t>
      </w:r>
      <w:r>
        <w:rPr>
          <w:spacing w:val="10"/>
        </w:rPr>
        <w:t> </w:t>
      </w:r>
      <w:r>
        <w:rPr/>
        <w:t>de</w:t>
      </w:r>
      <w:r>
        <w:rPr>
          <w:spacing w:val="4"/>
        </w:rPr>
        <w:t> </w:t>
      </w:r>
      <w:r>
        <w:rPr/>
        <w:t>noix</w:t>
      </w:r>
      <w:r>
        <w:rPr>
          <w:spacing w:val="13"/>
        </w:rPr>
        <w:t> </w:t>
      </w:r>
      <w:r>
        <w:rPr/>
        <w:t>de</w:t>
      </w:r>
      <w:r>
        <w:rPr>
          <w:spacing w:val="4"/>
        </w:rPr>
        <w:t> </w:t>
      </w:r>
      <w:r>
        <w:rPr/>
        <w:t>cola,</w:t>
      </w:r>
      <w:r>
        <w:rPr>
          <w:spacing w:val="10"/>
        </w:rPr>
        <w:t> </w:t>
      </w:r>
      <w:r>
        <w:rPr>
          <w:spacing w:val="-5"/>
        </w:rPr>
        <w:t>de</w:t>
      </w:r>
    </w:p>
    <w:p>
      <w:pPr>
        <w:spacing w:after="0" w:line="276" w:lineRule="auto"/>
        <w:jc w:val="both"/>
        <w:sectPr>
          <w:pgSz w:w="11910" w:h="16840"/>
          <w:pgMar w:header="0" w:footer="1005" w:top="840" w:bottom="1200" w:left="700" w:right="260"/>
        </w:sectPr>
      </w:pPr>
    </w:p>
    <w:p>
      <w:pPr>
        <w:pStyle w:val="BodyText"/>
        <w:spacing w:line="276" w:lineRule="auto" w:before="271"/>
        <w:ind w:right="1153"/>
        <w:jc w:val="both"/>
      </w:pPr>
      <w:r>
        <w:rPr/>
        <w:t>lait, de tubercules, etc. dans un acte de langage promissif</w:t>
      </w:r>
      <w:r>
        <w:rPr>
          <w:vertAlign w:val="superscript"/>
        </w:rPr>
        <w:t>6</w:t>
      </w:r>
      <w:r>
        <w:rPr>
          <w:vertAlign w:val="baseline"/>
        </w:rPr>
        <w:t>, ils prêtent le serment de</w:t>
      </w:r>
      <w:r>
        <w:rPr>
          <w:spacing w:val="-1"/>
          <w:vertAlign w:val="baseline"/>
        </w:rPr>
        <w:t> </w:t>
      </w:r>
      <w:r>
        <w:rPr>
          <w:vertAlign w:val="baseline"/>
        </w:rPr>
        <w:t>mener</w:t>
      </w:r>
      <w:r>
        <w:rPr>
          <w:spacing w:val="-1"/>
          <w:vertAlign w:val="baseline"/>
        </w:rPr>
        <w:t> </w:t>
      </w:r>
      <w:r>
        <w:rPr>
          <w:vertAlign w:val="baseline"/>
        </w:rPr>
        <w:t>une campagne électorale pacifique, d’accepter et de s’en tenir aux résultats proclamés officiellement et de reconnaître la victoire de son adversaire. Ils jurent, l’un l'autre, sur les mânes de leursancêtres de ne causer aucun mal, de ne jamais verser le sang, et de respecter le pacte sacré de la parenté à plaisanterie politique surtout au cours de la campagne électorale.</w:t>
      </w:r>
    </w:p>
    <w:p>
      <w:pPr>
        <w:pStyle w:val="Heading1"/>
        <w:numPr>
          <w:ilvl w:val="1"/>
          <w:numId w:val="1"/>
        </w:numPr>
        <w:tabs>
          <w:tab w:pos="1138" w:val="left" w:leader="none"/>
        </w:tabs>
        <w:spacing w:line="240" w:lineRule="auto" w:before="124" w:after="0"/>
        <w:ind w:left="1138" w:right="0" w:hanging="420"/>
        <w:jc w:val="both"/>
      </w:pPr>
      <w:r>
        <w:rPr/>
        <w:t>Le</w:t>
      </w:r>
      <w:r>
        <w:rPr>
          <w:spacing w:val="-3"/>
        </w:rPr>
        <w:t> </w:t>
      </w:r>
      <w:r>
        <w:rPr/>
        <w:t>discours</w:t>
      </w:r>
      <w:r>
        <w:rPr>
          <w:spacing w:val="-1"/>
        </w:rPr>
        <w:t> </w:t>
      </w:r>
      <w:r>
        <w:rPr/>
        <w:t>du sanankounya</w:t>
      </w:r>
      <w:r>
        <w:rPr>
          <w:spacing w:val="-1"/>
        </w:rPr>
        <w:t> </w:t>
      </w:r>
      <w:r>
        <w:rPr/>
        <w:t>pendant la</w:t>
      </w:r>
      <w:r>
        <w:rPr>
          <w:spacing w:val="-1"/>
        </w:rPr>
        <w:t> </w:t>
      </w:r>
      <w:r>
        <w:rPr/>
        <w:t>campagne </w:t>
      </w:r>
      <w:r>
        <w:rPr>
          <w:spacing w:val="-2"/>
        </w:rPr>
        <w:t>électorale</w:t>
      </w:r>
    </w:p>
    <w:p>
      <w:pPr>
        <w:pStyle w:val="BodyText"/>
        <w:spacing w:line="276" w:lineRule="auto" w:before="156"/>
        <w:ind w:right="1151"/>
        <w:jc w:val="both"/>
      </w:pPr>
      <w:r>
        <w:rPr/>
        <w:t>De façon pratique, le discours électoral doit faire valoir les indices de contextualisation entre les différents candidats issus des différentes ethnies. En effet, les slogans politiques doivent intégrer comme sujets de plaisanterie, les programmes de société proposés par leurs adversaires. Il s’agit, par exemple, de tourner en dérision les contenus des projets présentés</w:t>
      </w:r>
      <w:r>
        <w:rPr>
          <w:spacing w:val="40"/>
        </w:rPr>
        <w:t> </w:t>
      </w:r>
      <w:r>
        <w:rPr/>
        <w:t>par l’esclave-candidat (djon, kangah, etc.) et</w:t>
      </w:r>
      <w:r>
        <w:rPr>
          <w:spacing w:val="40"/>
        </w:rPr>
        <w:t> </w:t>
      </w:r>
      <w:r>
        <w:rPr/>
        <w:t>de se prévaloir, de se valoriser comme bon candidat. La campagne électorale doit être un moment de détente que les acteurs offrent aux populations qui ne font que s’en délecter. Il faut inviter les candidats à une théâtralisation, à une comédie électorale. Ainsi, le message pourrait être compris dans la plaisanterie. Que dire du comportement à observer après la proclamation des résultats ?</w:t>
      </w:r>
    </w:p>
    <w:p>
      <w:pPr>
        <w:pStyle w:val="Heading1"/>
        <w:numPr>
          <w:ilvl w:val="1"/>
          <w:numId w:val="1"/>
        </w:numPr>
        <w:tabs>
          <w:tab w:pos="1138" w:val="left" w:leader="none"/>
        </w:tabs>
        <w:spacing w:line="240" w:lineRule="auto" w:before="125" w:after="0"/>
        <w:ind w:left="1138" w:right="0" w:hanging="420"/>
        <w:jc w:val="both"/>
      </w:pPr>
      <w:r>
        <w:rPr/>
        <w:t>Le discours du sanankounya après les </w:t>
      </w:r>
      <w:r>
        <w:rPr>
          <w:spacing w:val="-2"/>
        </w:rPr>
        <w:t>élections</w:t>
      </w:r>
    </w:p>
    <w:p>
      <w:pPr>
        <w:pStyle w:val="BodyText"/>
        <w:spacing w:line="276" w:lineRule="auto" w:before="158"/>
        <w:ind w:right="1151"/>
        <w:jc w:val="both"/>
      </w:pPr>
      <w:r>
        <w:rPr/>
        <w:t>L’on s’en tiendra au pacte sacré de l’alliance à plaisanterie politique pour dédramatiser l’instant crucial de la</w:t>
      </w:r>
      <w:r>
        <w:rPr>
          <w:spacing w:val="40"/>
        </w:rPr>
        <w:t> </w:t>
      </w:r>
      <w:r>
        <w:rPr/>
        <w:t>proclamation des résultats. On peut critiquer les</w:t>
      </w:r>
      <w:r>
        <w:rPr>
          <w:spacing w:val="40"/>
        </w:rPr>
        <w:t> </w:t>
      </w:r>
      <w:r>
        <w:rPr/>
        <w:t>résultats</w:t>
      </w:r>
      <w:r>
        <w:rPr>
          <w:spacing w:val="40"/>
        </w:rPr>
        <w:t> </w:t>
      </w:r>
      <w:r>
        <w:rPr/>
        <w:t>sans les contester ; s’excuser pour les éventuelles dérives verbales, avant de remercier</w:t>
      </w:r>
      <w:r>
        <w:rPr>
          <w:spacing w:val="-1"/>
        </w:rPr>
        <w:t> </w:t>
      </w:r>
      <w:r>
        <w:rPr/>
        <w:t>et de féliciter le vainqueur. C’est un comportement de tolérance qu’avec Austin [(1962), 1970], on peut qualifier d’acte illocutoire comportatif. Ainsi, le discours comportatif a la vertu de baisser la tension et de ramener au calme. En somme tout est dans le discours ; c’est pourquoi, il faut mener un discours constructif surtout dans le règlement des conflits.</w:t>
      </w:r>
    </w:p>
    <w:p>
      <w:pPr>
        <w:pStyle w:val="Heading1"/>
        <w:numPr>
          <w:ilvl w:val="1"/>
          <w:numId w:val="1"/>
        </w:numPr>
        <w:tabs>
          <w:tab w:pos="1138" w:val="left" w:leader="none"/>
        </w:tabs>
        <w:spacing w:line="240" w:lineRule="auto" w:before="123" w:after="0"/>
        <w:ind w:left="1138" w:right="0" w:hanging="420"/>
        <w:jc w:val="both"/>
      </w:pPr>
      <w:r>
        <w:rPr/>
        <w:t>Le</w:t>
      </w:r>
      <w:r>
        <w:rPr>
          <w:spacing w:val="-3"/>
        </w:rPr>
        <w:t> </w:t>
      </w:r>
      <w:r>
        <w:rPr/>
        <w:t>discours du</w:t>
      </w:r>
      <w:r>
        <w:rPr>
          <w:spacing w:val="-1"/>
        </w:rPr>
        <w:t> </w:t>
      </w:r>
      <w:r>
        <w:rPr/>
        <w:t>sanankounya pendant</w:t>
      </w:r>
      <w:r>
        <w:rPr>
          <w:spacing w:val="-1"/>
        </w:rPr>
        <w:t> </w:t>
      </w:r>
      <w:r>
        <w:rPr/>
        <w:t>le règlement</w:t>
      </w:r>
      <w:r>
        <w:rPr>
          <w:spacing w:val="-1"/>
        </w:rPr>
        <w:t> </w:t>
      </w:r>
      <w:r>
        <w:rPr/>
        <w:t>de</w:t>
      </w:r>
      <w:r>
        <w:rPr>
          <w:spacing w:val="1"/>
        </w:rPr>
        <w:t> </w:t>
      </w:r>
      <w:r>
        <w:rPr>
          <w:spacing w:val="-2"/>
        </w:rPr>
        <w:t>conflits</w:t>
      </w:r>
    </w:p>
    <w:p>
      <w:pPr>
        <w:pStyle w:val="BodyText"/>
        <w:spacing w:line="276" w:lineRule="auto" w:before="159"/>
        <w:ind w:right="1151"/>
        <w:jc w:val="both"/>
        <w:rPr>
          <w:rFonts w:ascii="Calibri" w:hAnsi="Calibri"/>
        </w:rPr>
      </w:pPr>
      <w:r>
        <w:rPr/>
        <w:t>L’énonciation du sanankounya intervient dans les conflits entre personnes et entre communautés. L’exemple qui fait école est le discours de la médiation proféré par le grand griot guinéen, la virtuose, Kouyaté Sory Kandia (Siriman Kouyaté, 2003) pour réconcilier les présidents Moussa Traoré (Mali) et SangouléLamizana (Haute-Volta). C’était en 1975. Il a tenu à rappeler, avec éloquence, la force de l’alliance établie par les mythes entre Traoré et Samogo (Raphaël,1992). Le Maître de la parole a usé d’ironie pour assouplir les positions endurcies par les intérêts politiques. L’ironie verbale a donc fait triompher le sanankounya et</w:t>
      </w:r>
      <w:r>
        <w:rPr>
          <w:spacing w:val="40"/>
        </w:rPr>
        <w:t> </w:t>
      </w:r>
      <w:r>
        <w:rPr/>
        <w:t>a ouvert les perspectives sur la paix entre les deux hommes, les deux Chefs </w:t>
      </w:r>
      <w:r>
        <w:rPr>
          <w:rFonts w:ascii="Calibri" w:hAnsi="Calibri"/>
        </w:rPr>
        <w:t>d’Etat et, partant, les deux nations. Ce modèle doit inspirer les instances officielles de médiation en Côte d’Ivoire en vue de la prévention des conflits entre les acteurs des partis politiques. La stratégie discursive peut emprunter à l’humour et à l’ironie.</w:t>
      </w:r>
    </w:p>
    <w:p>
      <w:pPr>
        <w:pStyle w:val="BodyText"/>
        <w:spacing w:line="276" w:lineRule="auto" w:before="119"/>
        <w:ind w:right="1154"/>
        <w:jc w:val="both"/>
      </w:pPr>
      <w:r>
        <w:rPr/>
        <w:t>Le sanakounya est un pacte d’alliance fondé sur une structuration de la société. Elle vise à faciliter les rapports entre les membres de la famille et entre communautés. Les alliés se doivent d’entendre raillerie en toute circonstance. Du côté du locuteur, l’humour intervient pour “lubrifier” les relations de communication verbale.Mais le rapport interlocutif dans le sanankounya</w:t>
      </w:r>
      <w:r>
        <w:rPr>
          <w:spacing w:val="53"/>
          <w:w w:val="150"/>
        </w:rPr>
        <w:t> </w:t>
      </w:r>
      <w:r>
        <w:rPr/>
        <w:t>se</w:t>
      </w:r>
      <w:r>
        <w:rPr>
          <w:spacing w:val="55"/>
          <w:w w:val="150"/>
        </w:rPr>
        <w:t> </w:t>
      </w:r>
      <w:r>
        <w:rPr/>
        <w:t>comprend</w:t>
      </w:r>
      <w:r>
        <w:rPr>
          <w:spacing w:val="53"/>
          <w:w w:val="150"/>
        </w:rPr>
        <w:t> </w:t>
      </w:r>
      <w:r>
        <w:rPr/>
        <w:t>mieux</w:t>
      </w:r>
      <w:r>
        <w:rPr>
          <w:spacing w:val="55"/>
          <w:w w:val="150"/>
        </w:rPr>
        <w:t> </w:t>
      </w:r>
      <w:r>
        <w:rPr/>
        <w:t>lorsque</w:t>
      </w:r>
      <w:r>
        <w:rPr>
          <w:spacing w:val="53"/>
          <w:w w:val="150"/>
        </w:rPr>
        <w:t> </w:t>
      </w:r>
      <w:r>
        <w:rPr/>
        <w:t>les</w:t>
      </w:r>
      <w:r>
        <w:rPr>
          <w:spacing w:val="51"/>
          <w:w w:val="150"/>
        </w:rPr>
        <w:t> </w:t>
      </w:r>
      <w:r>
        <w:rPr/>
        <w:t>interlocuteurs</w:t>
      </w:r>
      <w:r>
        <w:rPr>
          <w:spacing w:val="50"/>
          <w:w w:val="150"/>
        </w:rPr>
        <w:t> </w:t>
      </w:r>
      <w:r>
        <w:rPr/>
        <w:t>ont</w:t>
      </w:r>
      <w:r>
        <w:rPr>
          <w:spacing w:val="55"/>
          <w:w w:val="150"/>
        </w:rPr>
        <w:t> </w:t>
      </w:r>
      <w:r>
        <w:rPr/>
        <w:t>en</w:t>
      </w:r>
      <w:r>
        <w:rPr>
          <w:spacing w:val="50"/>
          <w:w w:val="150"/>
        </w:rPr>
        <w:t> </w:t>
      </w:r>
      <w:r>
        <w:rPr/>
        <w:t>partage</w:t>
      </w:r>
      <w:r>
        <w:rPr>
          <w:spacing w:val="50"/>
          <w:w w:val="150"/>
        </w:rPr>
        <w:t> </w:t>
      </w:r>
      <w:r>
        <w:rPr/>
        <w:t>les</w:t>
      </w:r>
      <w:r>
        <w:rPr>
          <w:spacing w:val="54"/>
          <w:w w:val="150"/>
        </w:rPr>
        <w:t> </w:t>
      </w:r>
      <w:r>
        <w:rPr>
          <w:spacing w:val="-2"/>
        </w:rPr>
        <w:t>mêmes</w:t>
      </w:r>
    </w:p>
    <w:p>
      <w:pPr>
        <w:pStyle w:val="BodyText"/>
        <w:spacing w:before="39"/>
        <w:ind w:left="0"/>
        <w:rPr>
          <w:sz w:val="20"/>
        </w:rPr>
      </w:pPr>
      <w:r>
        <w:rPr/>
        <mc:AlternateContent>
          <mc:Choice Requires="wps">
            <w:drawing>
              <wp:anchor distT="0" distB="0" distL="0" distR="0" allowOverlap="1" layoutInCell="1" locked="0" behindDoc="1" simplePos="0" relativeHeight="487591424">
                <wp:simplePos x="0" y="0"/>
                <wp:positionH relativeFrom="page">
                  <wp:posOffset>900683</wp:posOffset>
                </wp:positionH>
                <wp:positionV relativeFrom="paragraph">
                  <wp:posOffset>186501</wp:posOffset>
                </wp:positionV>
                <wp:extent cx="1828800" cy="9525"/>
                <wp:effectExtent l="0" t="0" r="0" b="0"/>
                <wp:wrapTopAndBottom/>
                <wp:docPr id="14" name="Graphic 14"/>
                <wp:cNvGraphicFramePr>
                  <a:graphicFrameLocks/>
                </wp:cNvGraphicFramePr>
                <a:graphic>
                  <a:graphicData uri="http://schemas.microsoft.com/office/word/2010/wordprocessingShape">
                    <wps:wsp>
                      <wps:cNvPr id="14" name="Graphic 14"/>
                      <wps:cNvSpPr/>
                      <wps:spPr>
                        <a:xfrm>
                          <a:off x="0" y="0"/>
                          <a:ext cx="1828800" cy="9525"/>
                        </a:xfrm>
                        <a:custGeom>
                          <a:avLst/>
                          <a:gdLst/>
                          <a:ahLst/>
                          <a:cxnLst/>
                          <a:rect l="l" t="t" r="r" b="b"/>
                          <a:pathLst>
                            <a:path w="1828800" h="9525">
                              <a:moveTo>
                                <a:pt x="1828800" y="9143"/>
                              </a:moveTo>
                              <a:lnTo>
                                <a:pt x="0" y="9143"/>
                              </a:lnTo>
                              <a:lnTo>
                                <a:pt x="0" y="0"/>
                              </a:lnTo>
                              <a:lnTo>
                                <a:pt x="1828800" y="0"/>
                              </a:lnTo>
                              <a:lnTo>
                                <a:pt x="1828800" y="9143"/>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70.919998pt;margin-top:14.68515pt;width:144.0pt;height:.719971pt;mso-position-horizontal-relative:page;mso-position-vertical-relative:paragraph;z-index:-15725056;mso-wrap-distance-left:0;mso-wrap-distance-right:0" id="docshape12" filled="true" fillcolor="#000000" stroked="false">
                <v:fill type="solid"/>
                <w10:wrap type="topAndBottom"/>
              </v:rect>
            </w:pict>
          </mc:Fallback>
        </mc:AlternateContent>
      </w:r>
    </w:p>
    <w:p>
      <w:pPr>
        <w:spacing w:before="119"/>
        <w:ind w:left="718" w:right="0" w:firstLine="0"/>
        <w:jc w:val="left"/>
        <w:rPr>
          <w:rFonts w:ascii="Calibri" w:hAnsi="Calibri"/>
          <w:sz w:val="20"/>
        </w:rPr>
      </w:pPr>
      <w:r>
        <w:rPr>
          <w:rFonts w:ascii="Calibri" w:hAnsi="Calibri"/>
          <w:sz w:val="20"/>
          <w:vertAlign w:val="superscript"/>
        </w:rPr>
        <w:t>6</w:t>
      </w:r>
      <w:r>
        <w:rPr>
          <w:rFonts w:ascii="Calibri" w:hAnsi="Calibri"/>
          <w:spacing w:val="-5"/>
          <w:sz w:val="20"/>
          <w:vertAlign w:val="baseline"/>
        </w:rPr>
        <w:t> </w:t>
      </w:r>
      <w:r>
        <w:rPr>
          <w:rFonts w:ascii="Calibri" w:hAnsi="Calibri"/>
          <w:sz w:val="20"/>
          <w:vertAlign w:val="baseline"/>
        </w:rPr>
        <w:t>Cet</w:t>
      </w:r>
      <w:r>
        <w:rPr>
          <w:rFonts w:ascii="Calibri" w:hAnsi="Calibri"/>
          <w:spacing w:val="-3"/>
          <w:sz w:val="20"/>
          <w:vertAlign w:val="baseline"/>
        </w:rPr>
        <w:t> </w:t>
      </w:r>
      <w:r>
        <w:rPr>
          <w:rFonts w:ascii="Calibri" w:hAnsi="Calibri"/>
          <w:sz w:val="20"/>
          <w:vertAlign w:val="baseline"/>
        </w:rPr>
        <w:t>acte</w:t>
      </w:r>
      <w:r>
        <w:rPr>
          <w:rFonts w:ascii="Calibri" w:hAnsi="Calibri"/>
          <w:spacing w:val="-5"/>
          <w:sz w:val="20"/>
          <w:vertAlign w:val="baseline"/>
        </w:rPr>
        <w:t> </w:t>
      </w:r>
      <w:r>
        <w:rPr>
          <w:rFonts w:ascii="Calibri" w:hAnsi="Calibri"/>
          <w:sz w:val="20"/>
          <w:vertAlign w:val="baseline"/>
        </w:rPr>
        <w:t>de</w:t>
      </w:r>
      <w:r>
        <w:rPr>
          <w:rFonts w:ascii="Calibri" w:hAnsi="Calibri"/>
          <w:spacing w:val="-4"/>
          <w:sz w:val="20"/>
          <w:vertAlign w:val="baseline"/>
        </w:rPr>
        <w:t> </w:t>
      </w:r>
      <w:r>
        <w:rPr>
          <w:rFonts w:ascii="Calibri" w:hAnsi="Calibri"/>
          <w:sz w:val="20"/>
          <w:vertAlign w:val="baseline"/>
        </w:rPr>
        <w:t>langage</w:t>
      </w:r>
      <w:r>
        <w:rPr>
          <w:rFonts w:ascii="Calibri" w:hAnsi="Calibri"/>
          <w:spacing w:val="-4"/>
          <w:sz w:val="20"/>
          <w:vertAlign w:val="baseline"/>
        </w:rPr>
        <w:t> </w:t>
      </w:r>
      <w:r>
        <w:rPr>
          <w:rFonts w:ascii="Calibri" w:hAnsi="Calibri"/>
          <w:sz w:val="20"/>
          <w:vertAlign w:val="baseline"/>
        </w:rPr>
        <w:t>permet</w:t>
      </w:r>
      <w:r>
        <w:rPr>
          <w:rFonts w:ascii="Calibri" w:hAnsi="Calibri"/>
          <w:spacing w:val="-3"/>
          <w:sz w:val="20"/>
          <w:vertAlign w:val="baseline"/>
        </w:rPr>
        <w:t> </w:t>
      </w:r>
      <w:r>
        <w:rPr>
          <w:rFonts w:ascii="Calibri" w:hAnsi="Calibri"/>
          <w:sz w:val="20"/>
          <w:vertAlign w:val="baseline"/>
        </w:rPr>
        <w:t>de</w:t>
      </w:r>
      <w:r>
        <w:rPr>
          <w:rFonts w:ascii="Calibri" w:hAnsi="Calibri"/>
          <w:spacing w:val="-4"/>
          <w:sz w:val="20"/>
          <w:vertAlign w:val="baseline"/>
        </w:rPr>
        <w:t> </w:t>
      </w:r>
      <w:r>
        <w:rPr>
          <w:rFonts w:ascii="Calibri" w:hAnsi="Calibri"/>
          <w:sz w:val="20"/>
          <w:vertAlign w:val="baseline"/>
        </w:rPr>
        <w:t>promettre,</w:t>
      </w:r>
      <w:r>
        <w:rPr>
          <w:rFonts w:ascii="Calibri" w:hAnsi="Calibri"/>
          <w:spacing w:val="-1"/>
          <w:sz w:val="20"/>
          <w:vertAlign w:val="baseline"/>
        </w:rPr>
        <w:t> </w:t>
      </w:r>
      <w:r>
        <w:rPr>
          <w:rFonts w:ascii="Calibri" w:hAnsi="Calibri"/>
          <w:sz w:val="20"/>
          <w:vertAlign w:val="baseline"/>
        </w:rPr>
        <w:t>faire</w:t>
      </w:r>
      <w:r>
        <w:rPr>
          <w:rFonts w:ascii="Calibri" w:hAnsi="Calibri"/>
          <w:spacing w:val="-1"/>
          <w:sz w:val="20"/>
          <w:vertAlign w:val="baseline"/>
        </w:rPr>
        <w:t> </w:t>
      </w:r>
      <w:r>
        <w:rPr>
          <w:rFonts w:ascii="Calibri" w:hAnsi="Calibri"/>
          <w:sz w:val="20"/>
          <w:vertAlign w:val="baseline"/>
        </w:rPr>
        <w:t>vœu</w:t>
      </w:r>
      <w:r>
        <w:rPr>
          <w:rFonts w:ascii="Calibri" w:hAnsi="Calibri"/>
          <w:spacing w:val="-4"/>
          <w:sz w:val="20"/>
          <w:vertAlign w:val="baseline"/>
        </w:rPr>
        <w:t> </w:t>
      </w:r>
      <w:r>
        <w:rPr>
          <w:rFonts w:ascii="Calibri" w:hAnsi="Calibri"/>
          <w:sz w:val="20"/>
          <w:vertAlign w:val="baseline"/>
        </w:rPr>
        <w:t>de,</w:t>
      </w:r>
      <w:r>
        <w:rPr>
          <w:rFonts w:ascii="Calibri" w:hAnsi="Calibri"/>
          <w:spacing w:val="-3"/>
          <w:sz w:val="20"/>
          <w:vertAlign w:val="baseline"/>
        </w:rPr>
        <w:t> </w:t>
      </w:r>
      <w:r>
        <w:rPr>
          <w:rFonts w:ascii="Calibri" w:hAnsi="Calibri"/>
          <w:sz w:val="20"/>
          <w:vertAlign w:val="baseline"/>
        </w:rPr>
        <w:t>garantir,</w:t>
      </w:r>
      <w:r>
        <w:rPr>
          <w:rFonts w:ascii="Calibri" w:hAnsi="Calibri"/>
          <w:spacing w:val="-4"/>
          <w:sz w:val="20"/>
          <w:vertAlign w:val="baseline"/>
        </w:rPr>
        <w:t> </w:t>
      </w:r>
      <w:r>
        <w:rPr>
          <w:rFonts w:ascii="Calibri" w:hAnsi="Calibri"/>
          <w:sz w:val="20"/>
          <w:vertAlign w:val="baseline"/>
        </w:rPr>
        <w:t>parier,</w:t>
      </w:r>
      <w:r>
        <w:rPr>
          <w:rFonts w:ascii="Calibri" w:hAnsi="Calibri"/>
          <w:spacing w:val="-3"/>
          <w:sz w:val="20"/>
          <w:vertAlign w:val="baseline"/>
        </w:rPr>
        <w:t> </w:t>
      </w:r>
      <w:r>
        <w:rPr>
          <w:rFonts w:ascii="Calibri" w:hAnsi="Calibri"/>
          <w:sz w:val="20"/>
          <w:vertAlign w:val="baseline"/>
        </w:rPr>
        <w:t>jurer</w:t>
      </w:r>
      <w:r>
        <w:rPr>
          <w:rFonts w:ascii="Calibri" w:hAnsi="Calibri"/>
          <w:spacing w:val="-4"/>
          <w:sz w:val="20"/>
          <w:vertAlign w:val="baseline"/>
        </w:rPr>
        <w:t> </w:t>
      </w:r>
      <w:r>
        <w:rPr>
          <w:rFonts w:ascii="Calibri" w:hAnsi="Calibri"/>
          <w:spacing w:val="-5"/>
          <w:sz w:val="20"/>
          <w:vertAlign w:val="baseline"/>
        </w:rPr>
        <w:t>de…</w:t>
      </w:r>
    </w:p>
    <w:p>
      <w:pPr>
        <w:spacing w:after="0"/>
        <w:jc w:val="left"/>
        <w:rPr>
          <w:rFonts w:ascii="Calibri" w:hAnsi="Calibri"/>
          <w:sz w:val="20"/>
        </w:rPr>
        <w:sectPr>
          <w:pgSz w:w="11910" w:h="16840"/>
          <w:pgMar w:header="0" w:footer="1005" w:top="840" w:bottom="1200" w:left="700" w:right="260"/>
        </w:sectPr>
      </w:pPr>
    </w:p>
    <w:p>
      <w:pPr>
        <w:pStyle w:val="BodyText"/>
        <w:spacing w:line="276" w:lineRule="auto" w:before="271"/>
        <w:ind w:right="1153"/>
        <w:jc w:val="both"/>
      </w:pPr>
      <w:r>
        <w:rPr/>
        <w:t>“croyances” (la théorie de la pertinence selon Oswald Ducrot). En Côte d’ivoire, les alliés sanankoun doivent admettre la présupposition fondée sur les stéréotypes nourris à la sève des mythes et légendes. Ils doivent faire valoir les compétences culturelles autour du</w:t>
      </w:r>
      <w:r>
        <w:rPr>
          <w:spacing w:val="40"/>
        </w:rPr>
        <w:t> </w:t>
      </w:r>
      <w:r>
        <w:rPr/>
        <w:t>sanankounya, un pacte sacré et indéfectible qui résiste aux aléas politiques. La recevabilité du sanakounya se mesure à l’aune de la capacité des interlocuteurs à expliquer les maximes conversationnelles. Celles-ci dépendent de leur compétence communicative (inter) culturelle.Pris individuellement, les membres de la communauté sont censés mettre en </w:t>
      </w:r>
      <w:r>
        <w:rPr/>
        <w:t>œuvre la stratégie énonciative en articulation avec le contexte de l’interlocuteur. La paix sociale se coconstruit autour de ces principes de communication. Mais, ici encore, la part des pouvoirs politiques demeure décisive quant à l’intégration des pactes d’alliancesdans les stratégies de gouvernance.</w:t>
      </w:r>
      <w:r>
        <w:rPr>
          <w:spacing w:val="-3"/>
        </w:rPr>
        <w:t> </w:t>
      </w:r>
      <w:r>
        <w:rPr/>
        <w:t>En</w:t>
      </w:r>
      <w:r>
        <w:rPr>
          <w:spacing w:val="-1"/>
        </w:rPr>
        <w:t> </w:t>
      </w:r>
      <w:r>
        <w:rPr/>
        <w:t>Afrique</w:t>
      </w:r>
      <w:r>
        <w:rPr>
          <w:spacing w:val="-2"/>
        </w:rPr>
        <w:t> </w:t>
      </w:r>
      <w:r>
        <w:rPr/>
        <w:t>de</w:t>
      </w:r>
      <w:r>
        <w:rPr>
          <w:spacing w:val="-3"/>
        </w:rPr>
        <w:t> </w:t>
      </w:r>
      <w:r>
        <w:rPr/>
        <w:t>l’Ouest</w:t>
      </w:r>
      <w:r>
        <w:rPr>
          <w:spacing w:val="-1"/>
        </w:rPr>
        <w:t> </w:t>
      </w:r>
      <w:r>
        <w:rPr/>
        <w:t>surtout,</w:t>
      </w:r>
      <w:r>
        <w:rPr>
          <w:spacing w:val="-1"/>
        </w:rPr>
        <w:t> </w:t>
      </w:r>
      <w:r>
        <w:rPr/>
        <w:t>il</w:t>
      </w:r>
      <w:r>
        <w:rPr>
          <w:spacing w:val="-3"/>
        </w:rPr>
        <w:t> </w:t>
      </w:r>
      <w:r>
        <w:rPr/>
        <w:t>s’agit</w:t>
      </w:r>
      <w:r>
        <w:rPr>
          <w:spacing w:val="-1"/>
        </w:rPr>
        <w:t> </w:t>
      </w:r>
      <w:r>
        <w:rPr/>
        <w:t>de</w:t>
      </w:r>
      <w:r>
        <w:rPr>
          <w:spacing w:val="-2"/>
        </w:rPr>
        <w:t> </w:t>
      </w:r>
      <w:r>
        <w:rPr/>
        <w:t>prendre</w:t>
      </w:r>
      <w:r>
        <w:rPr>
          <w:spacing w:val="-2"/>
        </w:rPr>
        <w:t> </w:t>
      </w:r>
      <w:r>
        <w:rPr/>
        <w:t>une</w:t>
      </w:r>
      <w:r>
        <w:rPr>
          <w:spacing w:val="-3"/>
        </w:rPr>
        <w:t> </w:t>
      </w:r>
      <w:r>
        <w:rPr/>
        <w:t>option</w:t>
      </w:r>
      <w:r>
        <w:rPr>
          <w:spacing w:val="-1"/>
        </w:rPr>
        <w:t> </w:t>
      </w:r>
      <w:r>
        <w:rPr/>
        <w:t>claire</w:t>
      </w:r>
      <w:r>
        <w:rPr>
          <w:spacing w:val="-3"/>
        </w:rPr>
        <w:t> </w:t>
      </w:r>
      <w:r>
        <w:rPr/>
        <w:t>en</w:t>
      </w:r>
      <w:r>
        <w:rPr>
          <w:spacing w:val="-1"/>
        </w:rPr>
        <w:t> </w:t>
      </w:r>
      <w:r>
        <w:rPr/>
        <w:t>faveur</w:t>
      </w:r>
      <w:r>
        <w:rPr>
          <w:spacing w:val="-3"/>
        </w:rPr>
        <w:t> </w:t>
      </w:r>
      <w:r>
        <w:rPr/>
        <w:t>du sanankounya, du toukpê, etc., pour consolider les liens ancestraux entre les peuples.</w:t>
      </w:r>
    </w:p>
    <w:p>
      <w:pPr>
        <w:pStyle w:val="BodyText"/>
        <w:spacing w:before="110"/>
        <w:ind w:left="0"/>
      </w:pPr>
    </w:p>
    <w:p>
      <w:pPr>
        <w:pStyle w:val="Heading1"/>
        <w:spacing w:before="1"/>
        <w:jc w:val="left"/>
      </w:pPr>
      <w:r>
        <w:rPr>
          <w:spacing w:val="-2"/>
        </w:rPr>
        <w:t>Bibliographie</w:t>
      </w:r>
    </w:p>
    <w:p>
      <w:pPr>
        <w:pStyle w:val="BodyText"/>
        <w:spacing w:before="259"/>
        <w:ind w:left="0"/>
        <w:rPr>
          <w:b/>
        </w:rPr>
      </w:pPr>
    </w:p>
    <w:p>
      <w:pPr>
        <w:spacing w:line="259" w:lineRule="auto" w:before="0"/>
        <w:ind w:left="1337" w:right="1151" w:hanging="279"/>
        <w:jc w:val="both"/>
        <w:rPr>
          <w:sz w:val="24"/>
        </w:rPr>
      </w:pPr>
      <w:r>
        <w:rPr>
          <w:sz w:val="24"/>
        </w:rPr>
        <w:t>AUSTIN</w:t>
      </w:r>
      <w:r>
        <w:rPr>
          <w:spacing w:val="-1"/>
          <w:sz w:val="24"/>
        </w:rPr>
        <w:t> </w:t>
      </w:r>
      <w:r>
        <w:rPr>
          <w:sz w:val="24"/>
        </w:rPr>
        <w:t>J L</w:t>
      </w:r>
      <w:r>
        <w:rPr>
          <w:i/>
          <w:sz w:val="24"/>
        </w:rPr>
        <w:t>,</w:t>
      </w:r>
      <w:r>
        <w:rPr>
          <w:i/>
          <w:spacing w:val="-1"/>
          <w:sz w:val="24"/>
        </w:rPr>
        <w:t> </w:t>
      </w:r>
      <w:r>
        <w:rPr>
          <w:sz w:val="24"/>
        </w:rPr>
        <w:t>1962,</w:t>
      </w:r>
      <w:r>
        <w:rPr>
          <w:spacing w:val="-1"/>
          <w:sz w:val="24"/>
        </w:rPr>
        <w:t> </w:t>
      </w:r>
      <w:r>
        <w:rPr>
          <w:sz w:val="24"/>
        </w:rPr>
        <w:t>1970.</w:t>
      </w:r>
      <w:r>
        <w:rPr>
          <w:spacing w:val="-1"/>
          <w:sz w:val="24"/>
        </w:rPr>
        <w:t> </w:t>
      </w:r>
      <w:r>
        <w:rPr>
          <w:i/>
          <w:sz w:val="24"/>
        </w:rPr>
        <w:t>How</w:t>
      </w:r>
      <w:r>
        <w:rPr>
          <w:i/>
          <w:spacing w:val="-1"/>
          <w:sz w:val="24"/>
        </w:rPr>
        <w:t> </w:t>
      </w:r>
      <w:r>
        <w:rPr>
          <w:i/>
          <w:sz w:val="24"/>
        </w:rPr>
        <w:t>to</w:t>
      </w:r>
      <w:r>
        <w:rPr>
          <w:i/>
          <w:spacing w:val="-1"/>
          <w:sz w:val="24"/>
        </w:rPr>
        <w:t> </w:t>
      </w:r>
      <w:r>
        <w:rPr>
          <w:i/>
          <w:sz w:val="24"/>
        </w:rPr>
        <w:t>Do</w:t>
      </w:r>
      <w:r>
        <w:rPr>
          <w:i/>
          <w:spacing w:val="-1"/>
          <w:sz w:val="24"/>
        </w:rPr>
        <w:t> </w:t>
      </w:r>
      <w:r>
        <w:rPr>
          <w:i/>
          <w:sz w:val="24"/>
        </w:rPr>
        <w:t>ThingswithWords</w:t>
      </w:r>
      <w:r>
        <w:rPr>
          <w:sz w:val="24"/>
        </w:rPr>
        <w:t>,</w:t>
      </w:r>
      <w:r>
        <w:rPr>
          <w:spacing w:val="-1"/>
          <w:sz w:val="24"/>
        </w:rPr>
        <w:t> </w:t>
      </w:r>
      <w:r>
        <w:rPr>
          <w:sz w:val="24"/>
        </w:rPr>
        <w:t>traduit</w:t>
      </w:r>
      <w:r>
        <w:rPr>
          <w:spacing w:val="-1"/>
          <w:sz w:val="24"/>
        </w:rPr>
        <w:t> </w:t>
      </w:r>
      <w:r>
        <w:rPr>
          <w:sz w:val="24"/>
        </w:rPr>
        <w:t>en</w:t>
      </w:r>
      <w:r>
        <w:rPr>
          <w:spacing w:val="-1"/>
          <w:sz w:val="24"/>
        </w:rPr>
        <w:t> </w:t>
      </w:r>
      <w:r>
        <w:rPr>
          <w:sz w:val="24"/>
        </w:rPr>
        <w:t>1970, </w:t>
      </w:r>
      <w:r>
        <w:rPr>
          <w:i/>
          <w:sz w:val="24"/>
        </w:rPr>
        <w:t>Quand</w:t>
      </w:r>
      <w:r>
        <w:rPr>
          <w:i/>
          <w:spacing w:val="-1"/>
          <w:sz w:val="24"/>
        </w:rPr>
        <w:t> </w:t>
      </w:r>
      <w:r>
        <w:rPr>
          <w:i/>
          <w:sz w:val="24"/>
        </w:rPr>
        <w:t>dire,</w:t>
      </w:r>
      <w:r>
        <w:rPr>
          <w:i/>
          <w:spacing w:val="-1"/>
          <w:sz w:val="24"/>
        </w:rPr>
        <w:t> </w:t>
      </w:r>
      <w:r>
        <w:rPr>
          <w:i/>
          <w:sz w:val="24"/>
        </w:rPr>
        <w:t>c'est faire</w:t>
      </w:r>
      <w:r>
        <w:rPr>
          <w:sz w:val="24"/>
        </w:rPr>
        <w:t>, traduction de l'anglais par Gilles Lane, Editions du Seuil, “Points Essais”.</w:t>
      </w:r>
    </w:p>
    <w:p>
      <w:pPr>
        <w:spacing w:line="259" w:lineRule="auto" w:before="239"/>
        <w:ind w:left="1059" w:right="902" w:firstLine="0"/>
        <w:jc w:val="left"/>
        <w:rPr>
          <w:sz w:val="24"/>
        </w:rPr>
      </w:pPr>
      <w:r>
        <w:rPr>
          <w:sz w:val="24"/>
        </w:rPr>
        <w:t>SPERBER</w:t>
      </w:r>
      <w:r>
        <w:rPr>
          <w:spacing w:val="31"/>
          <w:sz w:val="24"/>
        </w:rPr>
        <w:t> </w:t>
      </w:r>
      <w:r>
        <w:rPr>
          <w:sz w:val="24"/>
        </w:rPr>
        <w:t>D</w:t>
      </w:r>
      <w:r>
        <w:rPr>
          <w:spacing w:val="31"/>
          <w:sz w:val="24"/>
        </w:rPr>
        <w:t> </w:t>
      </w:r>
      <w:r>
        <w:rPr>
          <w:sz w:val="24"/>
        </w:rPr>
        <w:t>et</w:t>
      </w:r>
      <w:r>
        <w:rPr>
          <w:spacing w:val="31"/>
          <w:sz w:val="24"/>
        </w:rPr>
        <w:t> </w:t>
      </w:r>
      <w:r>
        <w:rPr>
          <w:sz w:val="24"/>
        </w:rPr>
        <w:t>DEIRDE</w:t>
      </w:r>
      <w:r>
        <w:rPr>
          <w:spacing w:val="31"/>
          <w:sz w:val="24"/>
        </w:rPr>
        <w:t> </w:t>
      </w:r>
      <w:r>
        <w:rPr>
          <w:sz w:val="24"/>
        </w:rPr>
        <w:t>W,</w:t>
      </w:r>
      <w:r>
        <w:rPr>
          <w:spacing w:val="31"/>
          <w:sz w:val="24"/>
        </w:rPr>
        <w:t> </w:t>
      </w:r>
      <w:r>
        <w:rPr>
          <w:sz w:val="24"/>
        </w:rPr>
        <w:t>1989,</w:t>
      </w:r>
      <w:r>
        <w:rPr>
          <w:spacing w:val="31"/>
          <w:sz w:val="24"/>
        </w:rPr>
        <w:t> </w:t>
      </w:r>
      <w:r>
        <w:rPr>
          <w:i/>
          <w:sz w:val="24"/>
        </w:rPr>
        <w:t>La</w:t>
      </w:r>
      <w:r>
        <w:rPr>
          <w:i/>
          <w:spacing w:val="31"/>
          <w:sz w:val="24"/>
        </w:rPr>
        <w:t> </w:t>
      </w:r>
      <w:r>
        <w:rPr>
          <w:i/>
          <w:sz w:val="24"/>
        </w:rPr>
        <w:t>pertinence</w:t>
      </w:r>
      <w:r>
        <w:rPr>
          <w:i/>
          <w:spacing w:val="29"/>
          <w:sz w:val="24"/>
        </w:rPr>
        <w:t> </w:t>
      </w:r>
      <w:r>
        <w:rPr>
          <w:i/>
          <w:sz w:val="24"/>
        </w:rPr>
        <w:t>:</w:t>
      </w:r>
      <w:r>
        <w:rPr>
          <w:i/>
          <w:spacing w:val="33"/>
          <w:sz w:val="24"/>
        </w:rPr>
        <w:t> </w:t>
      </w:r>
      <w:r>
        <w:rPr>
          <w:i/>
          <w:sz w:val="24"/>
        </w:rPr>
        <w:t>communication</w:t>
      </w:r>
      <w:r>
        <w:rPr>
          <w:i/>
          <w:spacing w:val="31"/>
          <w:sz w:val="24"/>
        </w:rPr>
        <w:t> </w:t>
      </w:r>
      <w:r>
        <w:rPr>
          <w:i/>
          <w:sz w:val="24"/>
        </w:rPr>
        <w:t>et</w:t>
      </w:r>
      <w:r>
        <w:rPr>
          <w:i/>
          <w:spacing w:val="31"/>
          <w:sz w:val="24"/>
        </w:rPr>
        <w:t> </w:t>
      </w:r>
      <w:r>
        <w:rPr>
          <w:i/>
          <w:sz w:val="24"/>
        </w:rPr>
        <w:t>cognition</w:t>
      </w:r>
      <w:r>
        <w:rPr>
          <w:sz w:val="24"/>
        </w:rPr>
        <w:t>,</w:t>
      </w:r>
      <w:r>
        <w:rPr>
          <w:spacing w:val="31"/>
          <w:sz w:val="24"/>
        </w:rPr>
        <w:t> </w:t>
      </w:r>
      <w:r>
        <w:rPr>
          <w:sz w:val="24"/>
        </w:rPr>
        <w:t>Paris, </w:t>
      </w:r>
      <w:r>
        <w:rPr>
          <w:spacing w:val="-2"/>
          <w:sz w:val="24"/>
        </w:rPr>
        <w:t>Minuit.</w:t>
      </w:r>
    </w:p>
    <w:p>
      <w:pPr>
        <w:spacing w:line="261" w:lineRule="auto" w:before="239"/>
        <w:ind w:left="1337" w:right="902" w:hanging="279"/>
        <w:jc w:val="left"/>
        <w:rPr>
          <w:sz w:val="24"/>
        </w:rPr>
      </w:pPr>
      <w:r>
        <w:rPr>
          <w:sz w:val="24"/>
        </w:rPr>
        <w:t>DUCROT</w:t>
      </w:r>
      <w:r>
        <w:rPr>
          <w:spacing w:val="40"/>
          <w:sz w:val="24"/>
        </w:rPr>
        <w:t> </w:t>
      </w:r>
      <w:r>
        <w:rPr>
          <w:sz w:val="24"/>
        </w:rPr>
        <w:t>O</w:t>
      </w:r>
      <w:r>
        <w:rPr>
          <w:spacing w:val="40"/>
          <w:sz w:val="24"/>
        </w:rPr>
        <w:t> </w:t>
      </w:r>
      <w:r>
        <w:rPr>
          <w:sz w:val="24"/>
        </w:rPr>
        <w:t>et</w:t>
      </w:r>
      <w:r>
        <w:rPr>
          <w:spacing w:val="40"/>
          <w:sz w:val="24"/>
        </w:rPr>
        <w:t> </w:t>
      </w:r>
      <w:r>
        <w:rPr>
          <w:sz w:val="24"/>
        </w:rPr>
        <w:t>SCHAEFFER</w:t>
      </w:r>
      <w:r>
        <w:rPr>
          <w:spacing w:val="40"/>
          <w:sz w:val="24"/>
        </w:rPr>
        <w:t> </w:t>
      </w:r>
      <w:r>
        <w:rPr>
          <w:sz w:val="24"/>
        </w:rPr>
        <w:t>J-M,</w:t>
      </w:r>
      <w:r>
        <w:rPr>
          <w:spacing w:val="40"/>
          <w:sz w:val="24"/>
        </w:rPr>
        <w:t> </w:t>
      </w:r>
      <w:r>
        <w:rPr>
          <w:sz w:val="24"/>
        </w:rPr>
        <w:t>1995,</w:t>
      </w:r>
      <w:r>
        <w:rPr>
          <w:spacing w:val="40"/>
          <w:sz w:val="24"/>
        </w:rPr>
        <w:t> </w:t>
      </w:r>
      <w:r>
        <w:rPr>
          <w:i/>
          <w:sz w:val="24"/>
        </w:rPr>
        <w:t>Nouveau</w:t>
      </w:r>
      <w:r>
        <w:rPr>
          <w:i/>
          <w:spacing w:val="40"/>
          <w:sz w:val="24"/>
        </w:rPr>
        <w:t> </w:t>
      </w:r>
      <w:r>
        <w:rPr>
          <w:i/>
          <w:sz w:val="24"/>
        </w:rPr>
        <w:t>dictionnaire</w:t>
      </w:r>
      <w:r>
        <w:rPr>
          <w:i/>
          <w:spacing w:val="40"/>
          <w:sz w:val="24"/>
        </w:rPr>
        <w:t> </w:t>
      </w:r>
      <w:r>
        <w:rPr>
          <w:i/>
          <w:sz w:val="24"/>
        </w:rPr>
        <w:t>encyclopédique</w:t>
      </w:r>
      <w:r>
        <w:rPr>
          <w:i/>
          <w:spacing w:val="40"/>
          <w:sz w:val="24"/>
        </w:rPr>
        <w:t> </w:t>
      </w:r>
      <w:r>
        <w:rPr>
          <w:i/>
          <w:sz w:val="24"/>
        </w:rPr>
        <w:t>des</w:t>
      </w:r>
      <w:r>
        <w:rPr>
          <w:i/>
          <w:spacing w:val="80"/>
          <w:w w:val="150"/>
          <w:sz w:val="24"/>
        </w:rPr>
        <w:t> </w:t>
      </w:r>
      <w:r>
        <w:rPr>
          <w:i/>
          <w:sz w:val="24"/>
        </w:rPr>
        <w:t>sciences du langage</w:t>
      </w:r>
      <w:r>
        <w:rPr>
          <w:sz w:val="24"/>
        </w:rPr>
        <w:t>, Paris, Seuil.</w:t>
      </w:r>
    </w:p>
    <w:p>
      <w:pPr>
        <w:spacing w:line="259" w:lineRule="auto" w:before="236"/>
        <w:ind w:left="1337" w:right="902" w:hanging="279"/>
        <w:jc w:val="left"/>
        <w:rPr>
          <w:sz w:val="24"/>
        </w:rPr>
      </w:pPr>
      <w:r>
        <w:rPr>
          <w:sz w:val="24"/>
        </w:rPr>
        <w:t>KOUYATE</w:t>
      </w:r>
      <w:r>
        <w:rPr>
          <w:spacing w:val="40"/>
          <w:sz w:val="24"/>
        </w:rPr>
        <w:t> </w:t>
      </w:r>
      <w:r>
        <w:rPr>
          <w:sz w:val="24"/>
        </w:rPr>
        <w:t>S</w:t>
      </w:r>
      <w:r>
        <w:rPr>
          <w:spacing w:val="40"/>
          <w:sz w:val="24"/>
        </w:rPr>
        <w:t> </w:t>
      </w:r>
      <w:r>
        <w:rPr>
          <w:sz w:val="24"/>
        </w:rPr>
        <w:t>B,</w:t>
      </w:r>
      <w:r>
        <w:rPr>
          <w:spacing w:val="40"/>
          <w:sz w:val="24"/>
        </w:rPr>
        <w:t> </w:t>
      </w:r>
      <w:r>
        <w:rPr>
          <w:sz w:val="24"/>
        </w:rPr>
        <w:t>2009,</w:t>
      </w:r>
      <w:r>
        <w:rPr>
          <w:spacing w:val="40"/>
          <w:sz w:val="24"/>
        </w:rPr>
        <w:t> </w:t>
      </w:r>
      <w:r>
        <w:rPr>
          <w:sz w:val="24"/>
        </w:rPr>
        <w:t>«</w:t>
      </w:r>
      <w:r>
        <w:rPr>
          <w:spacing w:val="-10"/>
          <w:sz w:val="24"/>
        </w:rPr>
        <w:t> </w:t>
      </w:r>
      <w:r>
        <w:rPr>
          <w:sz w:val="24"/>
        </w:rPr>
        <w:t>Alliances</w:t>
      </w:r>
      <w:r>
        <w:rPr>
          <w:spacing w:val="40"/>
          <w:sz w:val="24"/>
        </w:rPr>
        <w:t> </w:t>
      </w:r>
      <w:r>
        <w:rPr>
          <w:sz w:val="24"/>
        </w:rPr>
        <w:t>interethniques</w:t>
      </w:r>
      <w:r>
        <w:rPr>
          <w:spacing w:val="40"/>
          <w:sz w:val="24"/>
        </w:rPr>
        <w:t> </w:t>
      </w:r>
      <w:r>
        <w:rPr>
          <w:sz w:val="24"/>
        </w:rPr>
        <w:t>et</w:t>
      </w:r>
      <w:r>
        <w:rPr>
          <w:spacing w:val="40"/>
          <w:sz w:val="24"/>
        </w:rPr>
        <w:t> </w:t>
      </w:r>
      <w:r>
        <w:rPr>
          <w:sz w:val="24"/>
        </w:rPr>
        <w:t>onomastique</w:t>
      </w:r>
      <w:r>
        <w:rPr>
          <w:spacing w:val="40"/>
          <w:sz w:val="24"/>
        </w:rPr>
        <w:t> </w:t>
      </w:r>
      <w:r>
        <w:rPr>
          <w:sz w:val="24"/>
        </w:rPr>
        <w:t>chez</w:t>
      </w:r>
      <w:r>
        <w:rPr>
          <w:spacing w:val="40"/>
          <w:sz w:val="24"/>
        </w:rPr>
        <w:t> </w:t>
      </w:r>
      <w:r>
        <w:rPr>
          <w:sz w:val="24"/>
        </w:rPr>
        <w:t>les</w:t>
      </w:r>
      <w:r>
        <w:rPr>
          <w:spacing w:val="40"/>
          <w:sz w:val="24"/>
        </w:rPr>
        <w:t> </w:t>
      </w:r>
      <w:r>
        <w:rPr>
          <w:sz w:val="24"/>
        </w:rPr>
        <w:t>Malinké », dans </w:t>
      </w:r>
      <w:r>
        <w:rPr>
          <w:i/>
          <w:sz w:val="24"/>
        </w:rPr>
        <w:t>SynergiesAfrique Centrale et de l’Ouest, </w:t>
      </w:r>
      <w:r>
        <w:rPr>
          <w:sz w:val="24"/>
        </w:rPr>
        <w:t>n° 3, p. 101-107.</w:t>
      </w:r>
    </w:p>
    <w:p>
      <w:pPr>
        <w:spacing w:line="259" w:lineRule="auto" w:before="239"/>
        <w:ind w:left="1337" w:right="902" w:hanging="279"/>
        <w:jc w:val="left"/>
        <w:rPr>
          <w:sz w:val="24"/>
        </w:rPr>
      </w:pPr>
      <w:r>
        <w:rPr>
          <w:sz w:val="24"/>
        </w:rPr>
        <w:t>KOUYATE</w:t>
      </w:r>
      <w:r>
        <w:rPr>
          <w:spacing w:val="40"/>
          <w:sz w:val="24"/>
        </w:rPr>
        <w:t> </w:t>
      </w:r>
      <w:r>
        <w:rPr>
          <w:sz w:val="24"/>
        </w:rPr>
        <w:t>S,</w:t>
      </w:r>
      <w:r>
        <w:rPr>
          <w:spacing w:val="40"/>
          <w:sz w:val="24"/>
        </w:rPr>
        <w:t> </w:t>
      </w:r>
      <w:r>
        <w:rPr>
          <w:sz w:val="24"/>
        </w:rPr>
        <w:t>2003,</w:t>
      </w:r>
      <w:r>
        <w:rPr>
          <w:spacing w:val="40"/>
          <w:sz w:val="24"/>
        </w:rPr>
        <w:t> </w:t>
      </w:r>
      <w:r>
        <w:rPr>
          <w:i/>
          <w:sz w:val="24"/>
        </w:rPr>
        <w:t>Cousinage</w:t>
      </w:r>
      <w:r>
        <w:rPr>
          <w:i/>
          <w:spacing w:val="40"/>
          <w:sz w:val="24"/>
        </w:rPr>
        <w:t> </w:t>
      </w:r>
      <w:r>
        <w:rPr>
          <w:i/>
          <w:sz w:val="24"/>
        </w:rPr>
        <w:t>à</w:t>
      </w:r>
      <w:r>
        <w:rPr>
          <w:i/>
          <w:spacing w:val="40"/>
          <w:sz w:val="24"/>
        </w:rPr>
        <w:t> </w:t>
      </w:r>
      <w:r>
        <w:rPr>
          <w:i/>
          <w:sz w:val="24"/>
        </w:rPr>
        <w:t>plaisanterie</w:t>
      </w:r>
      <w:r>
        <w:rPr>
          <w:i/>
          <w:spacing w:val="40"/>
          <w:sz w:val="24"/>
        </w:rPr>
        <w:t> </w:t>
      </w:r>
      <w:r>
        <w:rPr>
          <w:i/>
          <w:sz w:val="24"/>
        </w:rPr>
        <w:t>(Le)</w:t>
      </w:r>
      <w:r>
        <w:rPr>
          <w:sz w:val="24"/>
        </w:rPr>
        <w:t>,</w:t>
      </w:r>
      <w:r>
        <w:rPr>
          <w:spacing w:val="40"/>
          <w:sz w:val="24"/>
        </w:rPr>
        <w:t> </w:t>
      </w:r>
      <w:r>
        <w:rPr>
          <w:i/>
          <w:sz w:val="24"/>
        </w:rPr>
        <w:t>Notre</w:t>
      </w:r>
      <w:r>
        <w:rPr>
          <w:i/>
          <w:spacing w:val="40"/>
          <w:sz w:val="24"/>
        </w:rPr>
        <w:t> </w:t>
      </w:r>
      <w:r>
        <w:rPr>
          <w:i/>
          <w:sz w:val="24"/>
        </w:rPr>
        <w:t>héritagecommun,</w:t>
      </w:r>
      <w:r>
        <w:rPr>
          <w:i/>
          <w:spacing w:val="40"/>
          <w:sz w:val="24"/>
        </w:rPr>
        <w:t> </w:t>
      </w:r>
      <w:r>
        <w:rPr>
          <w:sz w:val="24"/>
        </w:rPr>
        <w:t>Guinée, </w:t>
      </w:r>
      <w:r>
        <w:rPr>
          <w:spacing w:val="-2"/>
          <w:sz w:val="24"/>
        </w:rPr>
        <w:t>Ganndal.</w:t>
      </w:r>
    </w:p>
    <w:p>
      <w:pPr>
        <w:spacing w:line="468" w:lineRule="auto" w:before="239"/>
        <w:ind w:left="1059" w:right="902" w:firstLine="0"/>
        <w:jc w:val="left"/>
        <w:rPr>
          <w:sz w:val="24"/>
        </w:rPr>
      </w:pPr>
      <w:r>
        <w:rPr>
          <w:sz w:val="24"/>
        </w:rPr>
        <w:t>KRISTIVA</w:t>
      </w:r>
      <w:r>
        <w:rPr>
          <w:spacing w:val="-3"/>
          <w:sz w:val="24"/>
        </w:rPr>
        <w:t> </w:t>
      </w:r>
      <w:r>
        <w:rPr>
          <w:sz w:val="24"/>
        </w:rPr>
        <w:t>Julia,</w:t>
      </w:r>
      <w:r>
        <w:rPr>
          <w:spacing w:val="-3"/>
          <w:sz w:val="24"/>
        </w:rPr>
        <w:t> </w:t>
      </w:r>
      <w:r>
        <w:rPr>
          <w:sz w:val="24"/>
        </w:rPr>
        <w:t>1969,</w:t>
      </w:r>
      <w:r>
        <w:rPr>
          <w:spacing w:val="-4"/>
          <w:sz w:val="24"/>
        </w:rPr>
        <w:t> </w:t>
      </w:r>
      <w:r>
        <w:rPr>
          <w:i/>
          <w:sz w:val="24"/>
        </w:rPr>
        <w:t>Séméïotiké.</w:t>
      </w:r>
      <w:r>
        <w:rPr>
          <w:i/>
          <w:spacing w:val="-6"/>
          <w:sz w:val="24"/>
        </w:rPr>
        <w:t> </w:t>
      </w:r>
      <w:r>
        <w:rPr>
          <w:i/>
          <w:sz w:val="24"/>
        </w:rPr>
        <w:t>Recherches</w:t>
      </w:r>
      <w:r>
        <w:rPr>
          <w:i/>
          <w:spacing w:val="-6"/>
          <w:sz w:val="24"/>
        </w:rPr>
        <w:t> </w:t>
      </w:r>
      <w:r>
        <w:rPr>
          <w:i/>
          <w:sz w:val="24"/>
        </w:rPr>
        <w:t>pour</w:t>
      </w:r>
      <w:r>
        <w:rPr>
          <w:i/>
          <w:spacing w:val="-1"/>
          <w:sz w:val="24"/>
        </w:rPr>
        <w:t> </w:t>
      </w:r>
      <w:r>
        <w:rPr>
          <w:i/>
          <w:sz w:val="24"/>
        </w:rPr>
        <w:t>une</w:t>
      </w:r>
      <w:r>
        <w:rPr>
          <w:i/>
          <w:spacing w:val="-6"/>
          <w:sz w:val="24"/>
        </w:rPr>
        <w:t> </w:t>
      </w:r>
      <w:r>
        <w:rPr>
          <w:i/>
          <w:sz w:val="24"/>
        </w:rPr>
        <w:t>sémanalyse</w:t>
      </w:r>
      <w:r>
        <w:rPr>
          <w:sz w:val="24"/>
        </w:rPr>
        <w:t>,</w:t>
      </w:r>
      <w:r>
        <w:rPr>
          <w:spacing w:val="-3"/>
          <w:sz w:val="24"/>
        </w:rPr>
        <w:t> </w:t>
      </w:r>
      <w:r>
        <w:rPr>
          <w:sz w:val="24"/>
        </w:rPr>
        <w:t>Paris,</w:t>
      </w:r>
      <w:r>
        <w:rPr>
          <w:spacing w:val="-3"/>
          <w:sz w:val="24"/>
        </w:rPr>
        <w:t> </w:t>
      </w:r>
      <w:r>
        <w:rPr>
          <w:sz w:val="24"/>
        </w:rPr>
        <w:t>Seuil,</w:t>
      </w:r>
      <w:r>
        <w:rPr>
          <w:spacing w:val="-3"/>
          <w:sz w:val="24"/>
        </w:rPr>
        <w:t> </w:t>
      </w:r>
      <w:r>
        <w:rPr>
          <w:sz w:val="24"/>
        </w:rPr>
        <w:t>381</w:t>
      </w:r>
      <w:r>
        <w:rPr>
          <w:spacing w:val="-3"/>
          <w:sz w:val="24"/>
        </w:rPr>
        <w:t> </w:t>
      </w:r>
      <w:r>
        <w:rPr>
          <w:sz w:val="24"/>
        </w:rPr>
        <w:t>p. KRISTIVA Julia, 1971, </w:t>
      </w:r>
      <w:r>
        <w:rPr>
          <w:i/>
          <w:sz w:val="24"/>
        </w:rPr>
        <w:t>Le Texte du roman</w:t>
      </w:r>
      <w:r>
        <w:rPr>
          <w:sz w:val="24"/>
        </w:rPr>
        <w:t>, Mouton, La Haye.</w:t>
      </w:r>
    </w:p>
    <w:p>
      <w:pPr>
        <w:spacing w:line="259" w:lineRule="auto" w:before="0"/>
        <w:ind w:left="1337" w:right="1177" w:hanging="279"/>
        <w:jc w:val="left"/>
        <w:rPr>
          <w:sz w:val="24"/>
        </w:rPr>
      </w:pPr>
      <w:r>
        <w:rPr>
          <w:sz w:val="24"/>
        </w:rPr>
        <w:t>LEVI-STRAUSS C, 1967, </w:t>
      </w:r>
      <w:r>
        <w:rPr>
          <w:i/>
          <w:sz w:val="24"/>
        </w:rPr>
        <w:t>Les structures élémentaires de la parenté</w:t>
      </w:r>
      <w:r>
        <w:rPr>
          <w:sz w:val="24"/>
        </w:rPr>
        <w:t>, Paris, Mouton, 591</w:t>
      </w:r>
      <w:r>
        <w:rPr>
          <w:spacing w:val="40"/>
          <w:sz w:val="24"/>
        </w:rPr>
        <w:t> </w:t>
      </w:r>
      <w:r>
        <w:rPr>
          <w:spacing w:val="-6"/>
          <w:sz w:val="24"/>
        </w:rPr>
        <w:t>p.</w:t>
      </w:r>
    </w:p>
    <w:p>
      <w:pPr>
        <w:spacing w:line="259" w:lineRule="auto" w:before="238"/>
        <w:ind w:left="1337" w:right="902" w:hanging="279"/>
        <w:jc w:val="left"/>
        <w:rPr>
          <w:sz w:val="24"/>
        </w:rPr>
      </w:pPr>
      <w:r>
        <w:rPr>
          <w:sz w:val="24"/>
        </w:rPr>
        <w:t>MOREL, Mary-Annick, 1992, «</w:t>
      </w:r>
      <w:r>
        <w:rPr>
          <w:spacing w:val="-7"/>
          <w:sz w:val="24"/>
        </w:rPr>
        <w:t> </w:t>
      </w:r>
      <w:r>
        <w:rPr>
          <w:sz w:val="24"/>
        </w:rPr>
        <w:t>L’opposition</w:t>
      </w:r>
      <w:r>
        <w:rPr>
          <w:spacing w:val="80"/>
          <w:sz w:val="24"/>
        </w:rPr>
        <w:t> </w:t>
      </w:r>
      <w:r>
        <w:rPr>
          <w:sz w:val="24"/>
        </w:rPr>
        <w:t>thème-rhème</w:t>
      </w:r>
      <w:r>
        <w:rPr>
          <w:spacing w:val="-1"/>
          <w:sz w:val="24"/>
        </w:rPr>
        <w:t> </w:t>
      </w:r>
      <w:r>
        <w:rPr>
          <w:sz w:val="24"/>
        </w:rPr>
        <w:t>»</w:t>
      </w:r>
      <w:r>
        <w:rPr>
          <w:spacing w:val="80"/>
          <w:sz w:val="24"/>
        </w:rPr>
        <w:t> </w:t>
      </w:r>
      <w:r>
        <w:rPr>
          <w:sz w:val="24"/>
        </w:rPr>
        <w:t>dans</w:t>
      </w:r>
      <w:r>
        <w:rPr>
          <w:spacing w:val="80"/>
          <w:sz w:val="24"/>
        </w:rPr>
        <w:t> </w:t>
      </w:r>
      <w:r>
        <w:rPr>
          <w:sz w:val="24"/>
        </w:rPr>
        <w:t>lastructuration</w:t>
      </w:r>
      <w:r>
        <w:rPr>
          <w:spacing w:val="80"/>
          <w:sz w:val="24"/>
        </w:rPr>
        <w:t> </w:t>
      </w:r>
      <w:r>
        <w:rPr>
          <w:sz w:val="24"/>
        </w:rPr>
        <w:t>des dialogues</w:t>
      </w:r>
      <w:r>
        <w:rPr>
          <w:spacing w:val="40"/>
          <w:sz w:val="24"/>
        </w:rPr>
        <w:t> </w:t>
      </w:r>
      <w:r>
        <w:rPr>
          <w:sz w:val="24"/>
        </w:rPr>
        <w:t>oraux,</w:t>
      </w:r>
      <w:r>
        <w:rPr>
          <w:i/>
          <w:sz w:val="24"/>
        </w:rPr>
        <w:t>Journal of french Language Studies</w:t>
      </w:r>
      <w:r>
        <w:rPr>
          <w:sz w:val="24"/>
        </w:rPr>
        <w:t>, Vol. 2 n°1, p.61-74.</w:t>
      </w:r>
    </w:p>
    <w:p>
      <w:pPr>
        <w:pStyle w:val="BodyText"/>
        <w:spacing w:line="259" w:lineRule="auto" w:before="242"/>
        <w:ind w:left="1337" w:right="1153" w:hanging="279"/>
        <w:jc w:val="both"/>
      </w:pPr>
      <w:r>
        <w:rPr/>
        <w:t>NDIAYE R, 2003, «</w:t>
      </w:r>
      <w:r>
        <w:rPr>
          <w:spacing w:val="-5"/>
        </w:rPr>
        <w:t> </w:t>
      </w:r>
      <w:r>
        <w:rPr/>
        <w:t>La parenté plaisante à l’école : contre les conflitset pour une culture de la tolérance et de la convivialité », communication présentée à l’atelier régional de formation sur les compétences de vie courante, Dakar, hôtel Ngor-Diarama, 6 – 10 octobre 2003.</w:t>
      </w:r>
    </w:p>
    <w:p>
      <w:pPr>
        <w:pStyle w:val="BodyText"/>
        <w:tabs>
          <w:tab w:pos="2287" w:val="left" w:leader="none"/>
          <w:tab w:pos="3404" w:val="left" w:leader="none"/>
          <w:tab w:pos="4170" w:val="left" w:leader="none"/>
          <w:tab w:pos="4933" w:val="left" w:leader="none"/>
          <w:tab w:pos="5759" w:val="left" w:leader="none"/>
          <w:tab w:pos="7557" w:val="left" w:leader="none"/>
          <w:tab w:pos="9439" w:val="left" w:leader="none"/>
        </w:tabs>
        <w:spacing w:line="259" w:lineRule="auto" w:before="238"/>
        <w:ind w:left="1337" w:right="1152" w:hanging="279"/>
        <w:jc w:val="both"/>
      </w:pPr>
      <w:r>
        <w:rPr/>
        <w:t>NDIAYE R, 1992, «</w:t>
      </w:r>
      <w:r>
        <w:rPr>
          <w:spacing w:val="-7"/>
        </w:rPr>
        <w:t> </w:t>
      </w:r>
      <w:r>
        <w:rPr/>
        <w:t>Correspondances ethnopatronymiques et parenté plaisantante : une problématique d'intégration à large échelle », dans </w:t>
      </w:r>
      <w:r>
        <w:rPr>
          <w:i/>
        </w:rPr>
        <w:t>environnement africain </w:t>
      </w:r>
      <w:r>
        <w:rPr/>
        <w:t>n° 31-32,</w:t>
      </w:r>
      <w:r>
        <w:rPr>
          <w:spacing w:val="80"/>
        </w:rPr>
        <w:t> </w:t>
      </w:r>
      <w:r>
        <w:rPr>
          <w:spacing w:val="-5"/>
        </w:rPr>
        <w:t>vol</w:t>
      </w:r>
      <w:r>
        <w:rPr/>
        <w:tab/>
      </w:r>
      <w:r>
        <w:rPr>
          <w:spacing w:val="-4"/>
        </w:rPr>
        <w:t>VIII,</w:t>
      </w:r>
      <w:r>
        <w:rPr/>
        <w:tab/>
      </w:r>
      <w:r>
        <w:rPr>
          <w:spacing w:val="-10"/>
        </w:rPr>
        <w:t>3</w:t>
      </w:r>
      <w:r>
        <w:rPr/>
        <w:tab/>
      </w:r>
      <w:r>
        <w:rPr>
          <w:spacing w:val="-10"/>
        </w:rPr>
        <w:t>–</w:t>
      </w:r>
      <w:r>
        <w:rPr/>
        <w:tab/>
      </w:r>
      <w:r>
        <w:rPr>
          <w:spacing w:val="-5"/>
        </w:rPr>
        <w:t>4,</w:t>
      </w:r>
      <w:r>
        <w:rPr/>
        <w:tab/>
      </w:r>
      <w:r>
        <w:rPr>
          <w:spacing w:val="-2"/>
        </w:rPr>
        <w:t>enda,</w:t>
      </w:r>
      <w:r>
        <w:rPr/>
        <w:tab/>
      </w:r>
      <w:r>
        <w:rPr>
          <w:spacing w:val="-2"/>
        </w:rPr>
        <w:t>dakar,</w:t>
      </w:r>
      <w:r>
        <w:rPr/>
        <w:tab/>
      </w:r>
      <w:r>
        <w:rPr>
          <w:spacing w:val="-5"/>
        </w:rPr>
        <w:t>[En</w:t>
      </w:r>
    </w:p>
    <w:p>
      <w:pPr>
        <w:spacing w:after="0" w:line="259" w:lineRule="auto"/>
        <w:jc w:val="both"/>
        <w:sectPr>
          <w:headerReference w:type="even" r:id="rId14"/>
          <w:headerReference w:type="default" r:id="rId15"/>
          <w:footerReference w:type="even" r:id="rId16"/>
          <w:footerReference w:type="default" r:id="rId17"/>
          <w:pgSz w:w="11910" w:h="16840"/>
          <w:pgMar w:header="430" w:footer="1005" w:top="840" w:bottom="1200" w:left="700" w:right="260"/>
        </w:sectPr>
      </w:pPr>
    </w:p>
    <w:p>
      <w:pPr>
        <w:spacing w:line="259" w:lineRule="auto" w:before="271"/>
        <w:ind w:left="1337" w:right="902" w:firstLine="0"/>
        <w:jc w:val="left"/>
        <w:rPr>
          <w:sz w:val="24"/>
        </w:rPr>
      </w:pPr>
      <w:r>
        <w:rPr>
          <w:spacing w:val="-2"/>
          <w:sz w:val="24"/>
        </w:rPr>
        <w:t>ligne]</w:t>
      </w:r>
      <w:hyperlink r:id="rId18">
        <w:r>
          <w:rPr>
            <w:color w:val="0000FF"/>
            <w:spacing w:val="-2"/>
            <w:sz w:val="24"/>
            <w:u w:val="single" w:color="0000FF"/>
          </w:rPr>
          <w:t>http://www.endasigie.org/bases/sigie/ressources/edocs-n</w:t>
        </w:r>
        <w:r>
          <w:rPr>
            <w:i/>
            <w:color w:val="0000FF"/>
            <w:spacing w:val="-2"/>
            <w:sz w:val="24"/>
            <w:u w:val="single" w:color="0000FF"/>
          </w:rPr>
          <w:t>di_patronym-parent-</w:t>
        </w:r>
      </w:hyperlink>
      <w:r>
        <w:rPr>
          <w:i/>
          <w:color w:val="0000FF"/>
          <w:spacing w:val="-2"/>
          <w:sz w:val="24"/>
        </w:rPr>
        <w:t> </w:t>
      </w:r>
      <w:r>
        <w:rPr>
          <w:i/>
          <w:sz w:val="24"/>
        </w:rPr>
        <w:t>plais.pdf</w:t>
      </w:r>
      <w:r>
        <w:rPr>
          <w:sz w:val="24"/>
        </w:rPr>
        <w:t>… [consulté le 20/08/2015].</w:t>
      </w:r>
    </w:p>
    <w:p>
      <w:pPr>
        <w:spacing w:line="259" w:lineRule="auto" w:before="239"/>
        <w:ind w:left="1337" w:right="1156" w:hanging="279"/>
        <w:jc w:val="both"/>
        <w:rPr>
          <w:sz w:val="24"/>
        </w:rPr>
      </w:pPr>
      <w:r>
        <w:rPr>
          <w:sz w:val="24"/>
        </w:rPr>
        <w:t>OKOU H L, 1994, «</w:t>
      </w:r>
      <w:r>
        <w:rPr>
          <w:spacing w:val="-5"/>
          <w:sz w:val="24"/>
        </w:rPr>
        <w:t> </w:t>
      </w:r>
      <w:r>
        <w:rPr>
          <w:sz w:val="24"/>
        </w:rPr>
        <w:t>Les alliances à plaisanterie », </w:t>
      </w:r>
      <w:r>
        <w:rPr>
          <w:i/>
          <w:sz w:val="24"/>
        </w:rPr>
        <w:t>Les conventions indigènes et la législation coloniale</w:t>
      </w:r>
      <w:r>
        <w:rPr>
          <w:sz w:val="24"/>
        </w:rPr>
        <w:t>, Abidjan, Neter, 1994, 83 p.</w:t>
      </w:r>
    </w:p>
    <w:p>
      <w:pPr>
        <w:spacing w:line="259" w:lineRule="auto" w:before="239"/>
        <w:ind w:left="1337" w:right="1149" w:hanging="279"/>
        <w:jc w:val="both"/>
        <w:rPr>
          <w:sz w:val="24"/>
        </w:rPr>
      </w:pPr>
      <w:r>
        <w:rPr>
          <w:sz w:val="24"/>
        </w:rPr>
        <w:t>REBOUL</w:t>
      </w:r>
      <w:r>
        <w:rPr>
          <w:spacing w:val="-3"/>
          <w:sz w:val="24"/>
        </w:rPr>
        <w:t> </w:t>
      </w:r>
      <w:r>
        <w:rPr>
          <w:sz w:val="24"/>
        </w:rPr>
        <w:t>A et</w:t>
      </w:r>
      <w:r>
        <w:rPr>
          <w:spacing w:val="-2"/>
          <w:sz w:val="24"/>
        </w:rPr>
        <w:t> </w:t>
      </w:r>
      <w:r>
        <w:rPr>
          <w:sz w:val="24"/>
        </w:rPr>
        <w:t>MOESCHLER</w:t>
      </w:r>
      <w:r>
        <w:rPr>
          <w:spacing w:val="-2"/>
          <w:sz w:val="24"/>
        </w:rPr>
        <w:t> </w:t>
      </w:r>
      <w:r>
        <w:rPr>
          <w:sz w:val="24"/>
        </w:rPr>
        <w:t>J 1998, </w:t>
      </w:r>
      <w:r>
        <w:rPr>
          <w:i/>
          <w:sz w:val="24"/>
        </w:rPr>
        <w:t>Pragmatique</w:t>
      </w:r>
      <w:r>
        <w:rPr>
          <w:i/>
          <w:spacing w:val="40"/>
          <w:sz w:val="24"/>
        </w:rPr>
        <w:t> </w:t>
      </w:r>
      <w:r>
        <w:rPr>
          <w:i/>
          <w:sz w:val="24"/>
        </w:rPr>
        <w:t>du</w:t>
      </w:r>
      <w:r>
        <w:rPr>
          <w:i/>
          <w:spacing w:val="40"/>
          <w:sz w:val="24"/>
        </w:rPr>
        <w:t> </w:t>
      </w:r>
      <w:r>
        <w:rPr>
          <w:i/>
          <w:sz w:val="24"/>
        </w:rPr>
        <w:t>discours.</w:t>
      </w:r>
      <w:r>
        <w:rPr>
          <w:i/>
          <w:spacing w:val="40"/>
          <w:sz w:val="24"/>
        </w:rPr>
        <w:t> </w:t>
      </w:r>
      <w:r>
        <w:rPr>
          <w:i/>
          <w:sz w:val="24"/>
        </w:rPr>
        <w:t>De</w:t>
      </w:r>
      <w:r>
        <w:rPr>
          <w:i/>
          <w:spacing w:val="40"/>
          <w:sz w:val="24"/>
        </w:rPr>
        <w:t> </w:t>
      </w:r>
      <w:r>
        <w:rPr>
          <w:i/>
          <w:sz w:val="24"/>
        </w:rPr>
        <w:t>l’interprétation</w:t>
      </w:r>
      <w:r>
        <w:rPr>
          <w:i/>
          <w:spacing w:val="40"/>
          <w:sz w:val="24"/>
        </w:rPr>
        <w:t> </w:t>
      </w:r>
      <w:r>
        <w:rPr>
          <w:i/>
          <w:sz w:val="24"/>
        </w:rPr>
        <w:t>de l’énoncé à l’interprétation du discours</w:t>
      </w:r>
      <w:r>
        <w:rPr>
          <w:sz w:val="24"/>
        </w:rPr>
        <w:t>, Paris, Armand Colin, 220 p.</w:t>
      </w:r>
    </w:p>
    <w:p>
      <w:pPr>
        <w:pStyle w:val="BodyText"/>
        <w:spacing w:line="259" w:lineRule="auto" w:before="239"/>
        <w:ind w:left="1337" w:right="1154" w:hanging="279"/>
        <w:jc w:val="both"/>
      </w:pPr>
      <w:r>
        <w:rPr/>
        <w:t>SISSAO A J, 2002, «</w:t>
      </w:r>
      <w:r>
        <w:rPr>
          <w:spacing w:val="-7"/>
        </w:rPr>
        <w:t> </w:t>
      </w:r>
      <w:r>
        <w:rPr/>
        <w:t>Alliances et parentés à plaisanterie au Burkina Faso. Mécanismes de fonctionnement et avenir », dans </w:t>
      </w:r>
      <w:r>
        <w:rPr>
          <w:i/>
        </w:rPr>
        <w:t>Journal des africanistes </w:t>
      </w:r>
      <w:r>
        <w:rPr/>
        <w:t>[En ligne], 75-1 | 2005, </w:t>
      </w:r>
      <w:hyperlink r:id="rId19">
        <w:r>
          <w:rPr/>
          <w:t>http://africanistes.revues.org/636consulté</w:t>
        </w:r>
      </w:hyperlink>
      <w:r>
        <w:rPr/>
        <w:t> le 20 avril 2016.</w:t>
      </w:r>
    </w:p>
    <w:sectPr>
      <w:pgSz w:w="11910" w:h="16840"/>
      <w:pgMar w:header="430" w:footer="1005" w:top="840" w:bottom="1200" w:left="700" w:right="2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Calibri">
    <w:altName w:val="Calibri"/>
    <w:charset w:val="1"/>
    <w:family w:val="roman"/>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rPr>
        <w:sz w:val="20"/>
      </w:rPr>
    </w:pPr>
    <w:r>
      <w:rPr/>
      <mc:AlternateContent>
        <mc:Choice Requires="wps">
          <w:drawing>
            <wp:anchor distT="0" distB="0" distL="0" distR="0" allowOverlap="1" layoutInCell="1" locked="0" behindDoc="1" simplePos="0" relativeHeight="487457792">
              <wp:simplePos x="0" y="0"/>
              <wp:positionH relativeFrom="page">
                <wp:posOffset>3698240</wp:posOffset>
              </wp:positionH>
              <wp:positionV relativeFrom="page">
                <wp:posOffset>9914632</wp:posOffset>
              </wp:positionV>
              <wp:extent cx="205740" cy="165735"/>
              <wp:effectExtent l="0" t="0" r="0" b="0"/>
              <wp:wrapNone/>
              <wp:docPr id="1" name="Textbox 1"/>
              <wp:cNvGraphicFramePr>
                <a:graphicFrameLocks/>
              </wp:cNvGraphicFramePr>
              <a:graphic>
                <a:graphicData uri="http://schemas.microsoft.com/office/word/2010/wordprocessingShape">
                  <wps:wsp>
                    <wps:cNvPr id="1" name="Textbox 1"/>
                    <wps:cNvSpPr txBox="1"/>
                    <wps:spPr>
                      <a:xfrm>
                        <a:off x="0" y="0"/>
                        <a:ext cx="205740" cy="165735"/>
                      </a:xfrm>
                      <a:prstGeom prst="rect">
                        <a:avLst/>
                      </a:prstGeom>
                    </wps:spPr>
                    <wps:txbx>
                      <w:txbxContent>
                        <w:p>
                          <w:pPr>
                            <w:spacing w:line="245" w:lineRule="exact" w:before="0"/>
                            <w:ind w:left="20" w:right="0" w:firstLine="0"/>
                            <w:jc w:val="left"/>
                            <w:rPr>
                              <w:rFonts w:ascii="Calibri"/>
                              <w:sz w:val="22"/>
                            </w:rPr>
                          </w:pPr>
                          <w:r>
                            <w:rPr>
                              <w:rFonts w:ascii="Calibri"/>
                              <w:spacing w:val="-5"/>
                              <w:sz w:val="22"/>
                            </w:rPr>
                            <w:t>5</w:t>
                          </w: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3</w:t>
                          </w:r>
                          <w:r>
                            <w:rPr>
                              <w:rFonts w:ascii="Calibri"/>
                              <w:spacing w:val="-5"/>
                              <w:sz w:val="22"/>
                            </w:rPr>
                            <w:fldChar w:fldCharType="end"/>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291.200012pt;margin-top:780.679688pt;width:16.2pt;height:13.05pt;mso-position-horizontal-relative:page;mso-position-vertical-relative:page;z-index:-15858688" type="#_x0000_t202" id="docshape1" filled="false" stroked="false">
              <v:textbox inset="0,0,0,0">
                <w:txbxContent>
                  <w:p>
                    <w:pPr>
                      <w:spacing w:line="245" w:lineRule="exact" w:before="0"/>
                      <w:ind w:left="20" w:right="0" w:firstLine="0"/>
                      <w:jc w:val="left"/>
                      <w:rPr>
                        <w:rFonts w:ascii="Calibri"/>
                        <w:sz w:val="22"/>
                      </w:rPr>
                    </w:pPr>
                    <w:r>
                      <w:rPr>
                        <w:rFonts w:ascii="Calibri"/>
                        <w:spacing w:val="-5"/>
                        <w:sz w:val="22"/>
                      </w:rPr>
                      <w:t>5</w:t>
                    </w: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3</w:t>
                    </w:r>
                    <w:r>
                      <w:rPr>
                        <w:rFonts w:ascii="Calibri"/>
                        <w:spacing w:val="-5"/>
                        <w:sz w:val="22"/>
                      </w:rPr>
                      <w:fldChar w:fldCharType="end"/>
                    </w:r>
                  </w:p>
                </w:txbxContent>
              </v:textbox>
              <w10:wrap type="none"/>
            </v:shape>
          </w:pict>
        </mc:Fallback>
      </mc:AlternateContent>
    </w:r>
  </w:p>
</w:ftr>
</file>

<file path=word/footer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rPr>
        <w:sz w:val="20"/>
      </w:rPr>
    </w:pPr>
    <w:r>
      <w:rPr/>
      <mc:AlternateContent>
        <mc:Choice Requires="wps">
          <w:drawing>
            <wp:anchor distT="0" distB="0" distL="0" distR="0" allowOverlap="1" layoutInCell="1" locked="0" behindDoc="1" simplePos="0" relativeHeight="487458304">
              <wp:simplePos x="0" y="0"/>
              <wp:positionH relativeFrom="page">
                <wp:posOffset>3696715</wp:posOffset>
              </wp:positionH>
              <wp:positionV relativeFrom="page">
                <wp:posOffset>9914632</wp:posOffset>
              </wp:positionV>
              <wp:extent cx="205740" cy="165735"/>
              <wp:effectExtent l="0" t="0" r="0" b="0"/>
              <wp:wrapNone/>
              <wp:docPr id="2" name="Textbox 2"/>
              <wp:cNvGraphicFramePr>
                <a:graphicFrameLocks/>
              </wp:cNvGraphicFramePr>
              <a:graphic>
                <a:graphicData uri="http://schemas.microsoft.com/office/word/2010/wordprocessingShape">
                  <wps:wsp>
                    <wps:cNvPr id="2" name="Textbox 2"/>
                    <wps:cNvSpPr txBox="1"/>
                    <wps:spPr>
                      <a:xfrm>
                        <a:off x="0" y="0"/>
                        <a:ext cx="205740" cy="165735"/>
                      </a:xfrm>
                      <a:prstGeom prst="rect">
                        <a:avLst/>
                      </a:prstGeom>
                    </wps:spPr>
                    <wps:txbx>
                      <w:txbxContent>
                        <w:p>
                          <w:pPr>
                            <w:spacing w:line="245" w:lineRule="exact" w:before="0"/>
                            <w:ind w:left="20" w:right="0" w:firstLine="0"/>
                            <w:jc w:val="left"/>
                            <w:rPr>
                              <w:rFonts w:ascii="Calibri"/>
                              <w:sz w:val="22"/>
                            </w:rPr>
                          </w:pPr>
                          <w:r>
                            <w:rPr>
                              <w:rFonts w:ascii="Calibri"/>
                              <w:spacing w:val="-5"/>
                              <w:sz w:val="22"/>
                            </w:rPr>
                            <w:t>5</w:t>
                          </w: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4</w:t>
                          </w:r>
                          <w:r>
                            <w:rPr>
                              <w:rFonts w:ascii="Calibri"/>
                              <w:spacing w:val="-5"/>
                              <w:sz w:val="22"/>
                            </w:rPr>
                            <w:fldChar w:fldCharType="end"/>
                          </w:r>
                        </w:p>
                      </w:txbxContent>
                    </wps:txbx>
                    <wps:bodyPr wrap="square" lIns="0" tIns="0" rIns="0" bIns="0" rtlCol="0">
                      <a:noAutofit/>
                    </wps:bodyPr>
                  </wps:wsp>
                </a:graphicData>
              </a:graphic>
            </wp:anchor>
          </w:drawing>
        </mc:Choice>
        <mc:Fallback>
          <w:pict>
            <v:shape style="position:absolute;margin-left:291.079987pt;margin-top:780.679688pt;width:16.2pt;height:13.05pt;mso-position-horizontal-relative:page;mso-position-vertical-relative:page;z-index:-15858176" type="#_x0000_t202" id="docshape2" filled="false" stroked="false">
              <v:textbox inset="0,0,0,0">
                <w:txbxContent>
                  <w:p>
                    <w:pPr>
                      <w:spacing w:line="245" w:lineRule="exact" w:before="0"/>
                      <w:ind w:left="20" w:right="0" w:firstLine="0"/>
                      <w:jc w:val="left"/>
                      <w:rPr>
                        <w:rFonts w:ascii="Calibri"/>
                        <w:sz w:val="22"/>
                      </w:rPr>
                    </w:pPr>
                    <w:r>
                      <w:rPr>
                        <w:rFonts w:ascii="Calibri"/>
                        <w:spacing w:val="-5"/>
                        <w:sz w:val="22"/>
                      </w:rPr>
                      <w:t>5</w:t>
                    </w: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4</w:t>
                    </w:r>
                    <w:r>
                      <w:rPr>
                        <w:rFonts w:ascii="Calibri"/>
                        <w:spacing w:val="-5"/>
                        <w:sz w:val="22"/>
                      </w:rPr>
                      <w:fldChar w:fldCharType="end"/>
                    </w:r>
                  </w:p>
                </w:txbxContent>
              </v:textbox>
              <w10:wrap type="none"/>
            </v:shape>
          </w:pict>
        </mc:Fallback>
      </mc:AlternateContent>
    </w:r>
  </w:p>
</w:ftr>
</file>

<file path=word/footer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rPr>
        <w:sz w:val="20"/>
      </w:rPr>
    </w:pPr>
    <w:r>
      <w:rPr/>
      <mc:AlternateContent>
        <mc:Choice Requires="wps">
          <w:drawing>
            <wp:anchor distT="0" distB="0" distL="0" distR="0" allowOverlap="1" layoutInCell="1" locked="0" behindDoc="1" simplePos="0" relativeHeight="487459840">
              <wp:simplePos x="0" y="0"/>
              <wp:positionH relativeFrom="page">
                <wp:posOffset>3696715</wp:posOffset>
              </wp:positionH>
              <wp:positionV relativeFrom="page">
                <wp:posOffset>9914632</wp:posOffset>
              </wp:positionV>
              <wp:extent cx="205740" cy="165735"/>
              <wp:effectExtent l="0" t="0" r="0" b="0"/>
              <wp:wrapNone/>
              <wp:docPr id="9" name="Textbox 9"/>
              <wp:cNvGraphicFramePr>
                <a:graphicFrameLocks/>
              </wp:cNvGraphicFramePr>
              <a:graphic>
                <a:graphicData uri="http://schemas.microsoft.com/office/word/2010/wordprocessingShape">
                  <wps:wsp>
                    <wps:cNvPr id="9" name="Textbox 9"/>
                    <wps:cNvSpPr txBox="1"/>
                    <wps:spPr>
                      <a:xfrm>
                        <a:off x="0" y="0"/>
                        <a:ext cx="205740" cy="165735"/>
                      </a:xfrm>
                      <a:prstGeom prst="rect">
                        <a:avLst/>
                      </a:prstGeom>
                    </wps:spPr>
                    <wps:txbx>
                      <w:txbxContent>
                        <w:p>
                          <w:pPr>
                            <w:spacing w:line="245" w:lineRule="exact" w:before="0"/>
                            <w:ind w:left="20" w:right="0" w:firstLine="0"/>
                            <w:jc w:val="left"/>
                            <w:rPr>
                              <w:rFonts w:ascii="Calibri"/>
                              <w:sz w:val="22"/>
                            </w:rPr>
                          </w:pPr>
                          <w:r>
                            <w:rPr>
                              <w:rFonts w:ascii="Calibri"/>
                              <w:spacing w:val="-5"/>
                              <w:sz w:val="22"/>
                            </w:rPr>
                            <w:t>5</w:t>
                          </w: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5</w:t>
                          </w:r>
                          <w:r>
                            <w:rPr>
                              <w:rFonts w:ascii="Calibri"/>
                              <w:spacing w:val="-5"/>
                              <w:sz w:val="22"/>
                            </w:rPr>
                            <w:fldChar w:fldCharType="end"/>
                          </w:r>
                        </w:p>
                      </w:txbxContent>
                    </wps:txbx>
                    <wps:bodyPr wrap="square" lIns="0" tIns="0" rIns="0" bIns="0" rtlCol="0">
                      <a:noAutofit/>
                    </wps:bodyPr>
                  </wps:wsp>
                </a:graphicData>
              </a:graphic>
            </wp:anchor>
          </w:drawing>
        </mc:Choice>
        <mc:Fallback>
          <w:pict>
            <v:shape style="position:absolute;margin-left:291.079987pt;margin-top:780.679688pt;width:16.2pt;height:13.05pt;mso-position-horizontal-relative:page;mso-position-vertical-relative:page;z-index:-15856640" type="#_x0000_t202" id="docshape7" filled="false" stroked="false">
              <v:textbox inset="0,0,0,0">
                <w:txbxContent>
                  <w:p>
                    <w:pPr>
                      <w:spacing w:line="245" w:lineRule="exact" w:before="0"/>
                      <w:ind w:left="20" w:right="0" w:firstLine="0"/>
                      <w:jc w:val="left"/>
                      <w:rPr>
                        <w:rFonts w:ascii="Calibri"/>
                        <w:sz w:val="22"/>
                      </w:rPr>
                    </w:pPr>
                    <w:r>
                      <w:rPr>
                        <w:rFonts w:ascii="Calibri"/>
                        <w:spacing w:val="-5"/>
                        <w:sz w:val="22"/>
                      </w:rPr>
                      <w:t>5</w:t>
                    </w: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5</w:t>
                    </w:r>
                    <w:r>
                      <w:rPr>
                        <w:rFonts w:ascii="Calibri"/>
                        <w:spacing w:val="-5"/>
                        <w:sz w:val="22"/>
                      </w:rPr>
                      <w:fldChar w:fldCharType="end"/>
                    </w:r>
                  </w:p>
                </w:txbxContent>
              </v:textbox>
              <w10:wrap type="none"/>
            </v:shape>
          </w:pict>
        </mc:Fallback>
      </mc:AlternateContent>
    </w:r>
  </w:p>
</w:ftr>
</file>

<file path=word/footer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rPr>
        <w:sz w:val="20"/>
      </w:rPr>
    </w:pPr>
    <w:r>
      <w:rPr/>
      <mc:AlternateContent>
        <mc:Choice Requires="wps">
          <w:drawing>
            <wp:anchor distT="0" distB="0" distL="0" distR="0" allowOverlap="1" layoutInCell="1" locked="0" behindDoc="1" simplePos="0" relativeHeight="487460352">
              <wp:simplePos x="0" y="0"/>
              <wp:positionH relativeFrom="page">
                <wp:posOffset>3696715</wp:posOffset>
              </wp:positionH>
              <wp:positionV relativeFrom="page">
                <wp:posOffset>9914632</wp:posOffset>
              </wp:positionV>
              <wp:extent cx="205740" cy="165735"/>
              <wp:effectExtent l="0" t="0" r="0" b="0"/>
              <wp:wrapNone/>
              <wp:docPr id="10" name="Textbox 10"/>
              <wp:cNvGraphicFramePr>
                <a:graphicFrameLocks/>
              </wp:cNvGraphicFramePr>
              <a:graphic>
                <a:graphicData uri="http://schemas.microsoft.com/office/word/2010/wordprocessingShape">
                  <wps:wsp>
                    <wps:cNvPr id="10" name="Textbox 10"/>
                    <wps:cNvSpPr txBox="1"/>
                    <wps:spPr>
                      <a:xfrm>
                        <a:off x="0" y="0"/>
                        <a:ext cx="205740" cy="165735"/>
                      </a:xfrm>
                      <a:prstGeom prst="rect">
                        <a:avLst/>
                      </a:prstGeom>
                    </wps:spPr>
                    <wps:txbx>
                      <w:txbxContent>
                        <w:p>
                          <w:pPr>
                            <w:spacing w:line="245" w:lineRule="exact" w:before="0"/>
                            <w:ind w:left="20" w:right="0" w:firstLine="0"/>
                            <w:jc w:val="left"/>
                            <w:rPr>
                              <w:rFonts w:ascii="Calibri"/>
                              <w:sz w:val="22"/>
                            </w:rPr>
                          </w:pPr>
                          <w:r>
                            <w:rPr>
                              <w:rFonts w:ascii="Calibri"/>
                              <w:spacing w:val="-5"/>
                              <w:sz w:val="22"/>
                            </w:rPr>
                            <w:t>5</w:t>
                          </w: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6</w:t>
                          </w:r>
                          <w:r>
                            <w:rPr>
                              <w:rFonts w:ascii="Calibri"/>
                              <w:spacing w:val="-5"/>
                              <w:sz w:val="22"/>
                            </w:rPr>
                            <w:fldChar w:fldCharType="end"/>
                          </w:r>
                        </w:p>
                      </w:txbxContent>
                    </wps:txbx>
                    <wps:bodyPr wrap="square" lIns="0" tIns="0" rIns="0" bIns="0" rtlCol="0">
                      <a:noAutofit/>
                    </wps:bodyPr>
                  </wps:wsp>
                </a:graphicData>
              </a:graphic>
            </wp:anchor>
          </w:drawing>
        </mc:Choice>
        <mc:Fallback>
          <w:pict>
            <v:shape style="position:absolute;margin-left:291.079987pt;margin-top:780.679688pt;width:16.2pt;height:13.05pt;mso-position-horizontal-relative:page;mso-position-vertical-relative:page;z-index:-15856128" type="#_x0000_t202" id="docshape8" filled="false" stroked="false">
              <v:textbox inset="0,0,0,0">
                <w:txbxContent>
                  <w:p>
                    <w:pPr>
                      <w:spacing w:line="245" w:lineRule="exact" w:before="0"/>
                      <w:ind w:left="20" w:right="0" w:firstLine="0"/>
                      <w:jc w:val="left"/>
                      <w:rPr>
                        <w:rFonts w:ascii="Calibri"/>
                        <w:sz w:val="22"/>
                      </w:rPr>
                    </w:pPr>
                    <w:r>
                      <w:rPr>
                        <w:rFonts w:ascii="Calibri"/>
                        <w:spacing w:val="-5"/>
                        <w:sz w:val="22"/>
                      </w:rPr>
                      <w:t>5</w:t>
                    </w: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6</w:t>
                    </w:r>
                    <w:r>
                      <w:rPr>
                        <w:rFonts w:ascii="Calibri"/>
                        <w:spacing w:val="-5"/>
                        <w:sz w:val="22"/>
                      </w:rPr>
                      <w:fldChar w:fldCharType="end"/>
                    </w:r>
                  </w:p>
                </w:txbxContent>
              </v:textbox>
              <w10:wrap type="none"/>
            </v:shape>
          </w:pict>
        </mc:Fallback>
      </mc:AlternateContent>
    </w:r>
  </w:p>
</w:ftr>
</file>

<file path=word/footer5.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rPr>
        <w:sz w:val="20"/>
      </w:rPr>
    </w:pPr>
    <w:r>
      <w:rPr/>
      <mc:AlternateContent>
        <mc:Choice Requires="wps">
          <w:drawing>
            <wp:anchor distT="0" distB="0" distL="0" distR="0" allowOverlap="1" layoutInCell="1" locked="0" behindDoc="1" simplePos="0" relativeHeight="487461888">
              <wp:simplePos x="0" y="0"/>
              <wp:positionH relativeFrom="page">
                <wp:posOffset>3696715</wp:posOffset>
              </wp:positionH>
              <wp:positionV relativeFrom="page">
                <wp:posOffset>9914632</wp:posOffset>
              </wp:positionV>
              <wp:extent cx="167640" cy="165735"/>
              <wp:effectExtent l="0" t="0" r="0" b="0"/>
              <wp:wrapNone/>
              <wp:docPr id="17" name="Textbox 17"/>
              <wp:cNvGraphicFramePr>
                <a:graphicFrameLocks/>
              </wp:cNvGraphicFramePr>
              <a:graphic>
                <a:graphicData uri="http://schemas.microsoft.com/office/word/2010/wordprocessingShape">
                  <wps:wsp>
                    <wps:cNvPr id="17" name="Textbox 17"/>
                    <wps:cNvSpPr txBox="1"/>
                    <wps:spPr>
                      <a:xfrm>
                        <a:off x="0" y="0"/>
                        <a:ext cx="167640" cy="165735"/>
                      </a:xfrm>
                      <a:prstGeom prst="rect">
                        <a:avLst/>
                      </a:prstGeom>
                    </wps:spPr>
                    <wps:txbx>
                      <w:txbxContent>
                        <w:p>
                          <w:pPr>
                            <w:spacing w:line="245" w:lineRule="exact" w:before="0"/>
                            <w:ind w:left="20" w:right="0" w:firstLine="0"/>
                            <w:jc w:val="left"/>
                            <w:rPr>
                              <w:rFonts w:ascii="Calibri"/>
                              <w:sz w:val="22"/>
                            </w:rPr>
                          </w:pPr>
                          <w:r>
                            <w:rPr>
                              <w:rFonts w:ascii="Calibri"/>
                              <w:spacing w:val="-5"/>
                              <w:sz w:val="22"/>
                            </w:rPr>
                            <w:t>60</w:t>
                          </w:r>
                        </w:p>
                      </w:txbxContent>
                    </wps:txbx>
                    <wps:bodyPr wrap="square" lIns="0" tIns="0" rIns="0" bIns="0" rtlCol="0">
                      <a:noAutofit/>
                    </wps:bodyPr>
                  </wps:wsp>
                </a:graphicData>
              </a:graphic>
            </wp:anchor>
          </w:drawing>
        </mc:Choice>
        <mc:Fallback>
          <w:pict>
            <v:shape style="position:absolute;margin-left:291.079987pt;margin-top:780.679688pt;width:13.2pt;height:13.05pt;mso-position-horizontal-relative:page;mso-position-vertical-relative:page;z-index:-15854592" type="#_x0000_t202" id="docshape15" filled="false" stroked="false">
              <v:textbox inset="0,0,0,0">
                <w:txbxContent>
                  <w:p>
                    <w:pPr>
                      <w:spacing w:line="245" w:lineRule="exact" w:before="0"/>
                      <w:ind w:left="20" w:right="0" w:firstLine="0"/>
                      <w:jc w:val="left"/>
                      <w:rPr>
                        <w:rFonts w:ascii="Calibri"/>
                        <w:sz w:val="22"/>
                      </w:rPr>
                    </w:pPr>
                    <w:r>
                      <w:rPr>
                        <w:rFonts w:ascii="Calibri"/>
                        <w:spacing w:val="-5"/>
                        <w:sz w:val="22"/>
                      </w:rPr>
                      <w:t>60</w:t>
                    </w:r>
                  </w:p>
                </w:txbxContent>
              </v:textbox>
              <w10:wrap type="none"/>
            </v:shape>
          </w:pict>
        </mc:Fallback>
      </mc:AlternateContent>
    </w:r>
  </w:p>
</w:ftr>
</file>

<file path=word/footer6.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rPr>
        <w:sz w:val="20"/>
      </w:rPr>
    </w:pPr>
    <w:r>
      <w:rPr/>
      <mc:AlternateContent>
        <mc:Choice Requires="wps">
          <w:drawing>
            <wp:anchor distT="0" distB="0" distL="0" distR="0" allowOverlap="1" layoutInCell="1" locked="0" behindDoc="1" simplePos="0" relativeHeight="487462400">
              <wp:simplePos x="0" y="0"/>
              <wp:positionH relativeFrom="page">
                <wp:posOffset>3696715</wp:posOffset>
              </wp:positionH>
              <wp:positionV relativeFrom="page">
                <wp:posOffset>9914632</wp:posOffset>
              </wp:positionV>
              <wp:extent cx="167640" cy="165735"/>
              <wp:effectExtent l="0" t="0" r="0" b="0"/>
              <wp:wrapNone/>
              <wp:docPr id="18" name="Textbox 18"/>
              <wp:cNvGraphicFramePr>
                <a:graphicFrameLocks/>
              </wp:cNvGraphicFramePr>
              <a:graphic>
                <a:graphicData uri="http://schemas.microsoft.com/office/word/2010/wordprocessingShape">
                  <wps:wsp>
                    <wps:cNvPr id="18" name="Textbox 18"/>
                    <wps:cNvSpPr txBox="1"/>
                    <wps:spPr>
                      <a:xfrm>
                        <a:off x="0" y="0"/>
                        <a:ext cx="167640" cy="165735"/>
                      </a:xfrm>
                      <a:prstGeom prst="rect">
                        <a:avLst/>
                      </a:prstGeom>
                    </wps:spPr>
                    <wps:txbx>
                      <w:txbxContent>
                        <w:p>
                          <w:pPr>
                            <w:spacing w:line="245" w:lineRule="exact" w:before="0"/>
                            <w:ind w:left="20" w:right="0" w:firstLine="0"/>
                            <w:jc w:val="left"/>
                            <w:rPr>
                              <w:rFonts w:ascii="Calibri"/>
                              <w:sz w:val="22"/>
                            </w:rPr>
                          </w:pPr>
                          <w:r>
                            <w:rPr>
                              <w:rFonts w:ascii="Calibri"/>
                              <w:spacing w:val="-5"/>
                              <w:sz w:val="22"/>
                            </w:rPr>
                            <w:t>61</w:t>
                          </w:r>
                        </w:p>
                      </w:txbxContent>
                    </wps:txbx>
                    <wps:bodyPr wrap="square" lIns="0" tIns="0" rIns="0" bIns="0" rtlCol="0">
                      <a:noAutofit/>
                    </wps:bodyPr>
                  </wps:wsp>
                </a:graphicData>
              </a:graphic>
            </wp:anchor>
          </w:drawing>
        </mc:Choice>
        <mc:Fallback>
          <w:pict>
            <v:shape style="position:absolute;margin-left:291.079987pt;margin-top:780.679688pt;width:13.2pt;height:13.05pt;mso-position-horizontal-relative:page;mso-position-vertical-relative:page;z-index:-15854080" type="#_x0000_t202" id="docshape16" filled="false" stroked="false">
              <v:textbox inset="0,0,0,0">
                <w:txbxContent>
                  <w:p>
                    <w:pPr>
                      <w:spacing w:line="245" w:lineRule="exact" w:before="0"/>
                      <w:ind w:left="20" w:right="0" w:firstLine="0"/>
                      <w:jc w:val="left"/>
                      <w:rPr>
                        <w:rFonts w:ascii="Calibri"/>
                        <w:sz w:val="22"/>
                      </w:rPr>
                    </w:pPr>
                    <w:r>
                      <w:rPr>
                        <w:rFonts w:ascii="Calibri"/>
                        <w:spacing w:val="-5"/>
                        <w:sz w:val="22"/>
                      </w:rPr>
                      <w:t>61</w:t>
                    </w:r>
                  </w:p>
                </w:txbxContent>
              </v:textbox>
              <w10:wrap type="none"/>
            </v:shape>
          </w:pict>
        </mc:Fallback>
      </mc:AlternateContent>
    </w:r>
  </w:p>
</w:ftr>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rPr>
        <w:sz w:val="20"/>
      </w:rPr>
    </w:pPr>
    <w:r>
      <w:rPr/>
      <mc:AlternateContent>
        <mc:Choice Requires="wps">
          <w:drawing>
            <wp:anchor distT="0" distB="0" distL="0" distR="0" allowOverlap="1" layoutInCell="1" locked="0" behindDoc="1" simplePos="0" relativeHeight="487458816">
              <wp:simplePos x="0" y="0"/>
              <wp:positionH relativeFrom="page">
                <wp:posOffset>887983</wp:posOffset>
              </wp:positionH>
              <wp:positionV relativeFrom="page">
                <wp:posOffset>260149</wp:posOffset>
              </wp:positionV>
              <wp:extent cx="5669915" cy="165735"/>
              <wp:effectExtent l="0" t="0" r="0" b="0"/>
              <wp:wrapNone/>
              <wp:docPr id="6" name="Textbox 6"/>
              <wp:cNvGraphicFramePr>
                <a:graphicFrameLocks/>
              </wp:cNvGraphicFramePr>
              <a:graphic>
                <a:graphicData uri="http://schemas.microsoft.com/office/word/2010/wordprocessingShape">
                  <wps:wsp>
                    <wps:cNvPr id="6" name="Textbox 6"/>
                    <wps:cNvSpPr txBox="1"/>
                    <wps:spPr>
                      <a:xfrm>
                        <a:off x="0" y="0"/>
                        <a:ext cx="5669915" cy="165735"/>
                      </a:xfrm>
                      <a:prstGeom prst="rect">
                        <a:avLst/>
                      </a:prstGeom>
                    </wps:spPr>
                    <wps:txbx>
                      <w:txbxContent>
                        <w:p>
                          <w:pPr>
                            <w:spacing w:before="10"/>
                            <w:ind w:left="20" w:right="0" w:firstLine="0"/>
                            <w:jc w:val="left"/>
                            <w:rPr>
                              <w:sz w:val="20"/>
                            </w:rPr>
                          </w:pPr>
                          <w:r>
                            <w:rPr>
                              <w:sz w:val="20"/>
                            </w:rPr>
                            <w:t>Etudes</w:t>
                          </w:r>
                          <w:r>
                            <w:rPr>
                              <w:spacing w:val="-7"/>
                              <w:sz w:val="20"/>
                            </w:rPr>
                            <w:t> </w:t>
                          </w:r>
                          <w:r>
                            <w:rPr>
                              <w:sz w:val="20"/>
                            </w:rPr>
                            <w:t>pragmatico-énonciatives</w:t>
                          </w:r>
                          <w:r>
                            <w:rPr>
                              <w:spacing w:val="-6"/>
                              <w:sz w:val="20"/>
                            </w:rPr>
                            <w:t> </w:t>
                          </w:r>
                          <w:r>
                            <w:rPr>
                              <w:sz w:val="20"/>
                            </w:rPr>
                            <w:t>d’une</w:t>
                          </w:r>
                          <w:r>
                            <w:rPr>
                              <w:spacing w:val="-5"/>
                              <w:sz w:val="20"/>
                            </w:rPr>
                            <w:t> </w:t>
                          </w:r>
                          <w:r>
                            <w:rPr>
                              <w:sz w:val="20"/>
                            </w:rPr>
                            <w:t>alliance</w:t>
                          </w:r>
                          <w:r>
                            <w:rPr>
                              <w:spacing w:val="-7"/>
                              <w:sz w:val="20"/>
                            </w:rPr>
                            <w:t> </w:t>
                          </w:r>
                          <w:r>
                            <w:rPr>
                              <w:sz w:val="20"/>
                            </w:rPr>
                            <w:t>interethnique,</w:t>
                          </w:r>
                          <w:r>
                            <w:rPr>
                              <w:spacing w:val="-4"/>
                              <w:sz w:val="20"/>
                            </w:rPr>
                            <w:t> </w:t>
                          </w:r>
                          <w:r>
                            <w:rPr>
                              <w:sz w:val="20"/>
                            </w:rPr>
                            <w:t>les</w:t>
                          </w:r>
                          <w:r>
                            <w:rPr>
                              <w:spacing w:val="-7"/>
                              <w:sz w:val="20"/>
                            </w:rPr>
                            <w:t> </w:t>
                          </w:r>
                          <w:r>
                            <w:rPr>
                              <w:sz w:val="20"/>
                            </w:rPr>
                            <w:t>Anakounya</w:t>
                          </w:r>
                          <w:r>
                            <w:rPr>
                              <w:spacing w:val="-6"/>
                              <w:sz w:val="20"/>
                            </w:rPr>
                            <w:t> </w:t>
                          </w:r>
                          <w:r>
                            <w:rPr>
                              <w:sz w:val="20"/>
                            </w:rPr>
                            <w:t>:</w:t>
                          </w:r>
                          <w:r>
                            <w:rPr>
                              <w:spacing w:val="-7"/>
                              <w:sz w:val="20"/>
                            </w:rPr>
                            <w:t> </w:t>
                          </w:r>
                          <w:r>
                            <w:rPr>
                              <w:sz w:val="20"/>
                            </w:rPr>
                            <w:t>enjeux</w:t>
                          </w:r>
                          <w:r>
                            <w:rPr>
                              <w:spacing w:val="-5"/>
                              <w:sz w:val="20"/>
                            </w:rPr>
                            <w:t> </w:t>
                          </w:r>
                          <w:r>
                            <w:rPr>
                              <w:sz w:val="20"/>
                            </w:rPr>
                            <w:t>sociétaux</w:t>
                          </w:r>
                          <w:r>
                            <w:rPr>
                              <w:spacing w:val="-6"/>
                              <w:sz w:val="20"/>
                            </w:rPr>
                            <w:t> </w:t>
                          </w:r>
                          <w:r>
                            <w:rPr>
                              <w:sz w:val="20"/>
                            </w:rPr>
                            <w:t>dans</w:t>
                          </w:r>
                          <w:r>
                            <w:rPr>
                              <w:spacing w:val="-7"/>
                              <w:sz w:val="20"/>
                            </w:rPr>
                            <w:t> </w:t>
                          </w:r>
                          <w:r>
                            <w:rPr>
                              <w:sz w:val="20"/>
                            </w:rPr>
                            <w:t>l’ouest</w:t>
                          </w:r>
                          <w:r>
                            <w:rPr>
                              <w:spacing w:val="-4"/>
                              <w:sz w:val="20"/>
                            </w:rPr>
                            <w:t> </w:t>
                          </w:r>
                          <w:r>
                            <w:rPr>
                              <w:spacing w:val="-10"/>
                              <w:sz w:val="20"/>
                            </w:rPr>
                            <w:t>…</w:t>
                          </w:r>
                        </w:p>
                      </w:txbxContent>
                    </wps:txbx>
                    <wps:bodyPr wrap="square" lIns="0" tIns="0" rIns="0" bIns="0" rtlCol="0">
                      <a:noAutofit/>
                    </wps:bodyPr>
                  </wps:wsp>
                </a:graphicData>
              </a:graphic>
            </wp:anchor>
          </w:drawing>
        </mc:Choice>
        <mc:Fallback>
          <w:pict>
            <v:shape style="position:absolute;margin-left:69.919998pt;margin-top:20.484177pt;width:446.45pt;height:13.05pt;mso-position-horizontal-relative:page;mso-position-vertical-relative:page;z-index:-15857664" type="#_x0000_t202" id="docshape4" filled="false" stroked="false">
              <v:textbox inset="0,0,0,0">
                <w:txbxContent>
                  <w:p>
                    <w:pPr>
                      <w:spacing w:before="10"/>
                      <w:ind w:left="20" w:right="0" w:firstLine="0"/>
                      <w:jc w:val="left"/>
                      <w:rPr>
                        <w:sz w:val="20"/>
                      </w:rPr>
                    </w:pPr>
                    <w:r>
                      <w:rPr>
                        <w:sz w:val="20"/>
                      </w:rPr>
                      <w:t>Etudes</w:t>
                    </w:r>
                    <w:r>
                      <w:rPr>
                        <w:spacing w:val="-7"/>
                        <w:sz w:val="20"/>
                      </w:rPr>
                      <w:t> </w:t>
                    </w:r>
                    <w:r>
                      <w:rPr>
                        <w:sz w:val="20"/>
                      </w:rPr>
                      <w:t>pragmatico-énonciatives</w:t>
                    </w:r>
                    <w:r>
                      <w:rPr>
                        <w:spacing w:val="-6"/>
                        <w:sz w:val="20"/>
                      </w:rPr>
                      <w:t> </w:t>
                    </w:r>
                    <w:r>
                      <w:rPr>
                        <w:sz w:val="20"/>
                      </w:rPr>
                      <w:t>d’une</w:t>
                    </w:r>
                    <w:r>
                      <w:rPr>
                        <w:spacing w:val="-5"/>
                        <w:sz w:val="20"/>
                      </w:rPr>
                      <w:t> </w:t>
                    </w:r>
                    <w:r>
                      <w:rPr>
                        <w:sz w:val="20"/>
                      </w:rPr>
                      <w:t>alliance</w:t>
                    </w:r>
                    <w:r>
                      <w:rPr>
                        <w:spacing w:val="-7"/>
                        <w:sz w:val="20"/>
                      </w:rPr>
                      <w:t> </w:t>
                    </w:r>
                    <w:r>
                      <w:rPr>
                        <w:sz w:val="20"/>
                      </w:rPr>
                      <w:t>interethnique,</w:t>
                    </w:r>
                    <w:r>
                      <w:rPr>
                        <w:spacing w:val="-4"/>
                        <w:sz w:val="20"/>
                      </w:rPr>
                      <w:t> </w:t>
                    </w:r>
                    <w:r>
                      <w:rPr>
                        <w:sz w:val="20"/>
                      </w:rPr>
                      <w:t>les</w:t>
                    </w:r>
                    <w:r>
                      <w:rPr>
                        <w:spacing w:val="-7"/>
                        <w:sz w:val="20"/>
                      </w:rPr>
                      <w:t> </w:t>
                    </w:r>
                    <w:r>
                      <w:rPr>
                        <w:sz w:val="20"/>
                      </w:rPr>
                      <w:t>Anakounya</w:t>
                    </w:r>
                    <w:r>
                      <w:rPr>
                        <w:spacing w:val="-6"/>
                        <w:sz w:val="20"/>
                      </w:rPr>
                      <w:t> </w:t>
                    </w:r>
                    <w:r>
                      <w:rPr>
                        <w:sz w:val="20"/>
                      </w:rPr>
                      <w:t>:</w:t>
                    </w:r>
                    <w:r>
                      <w:rPr>
                        <w:spacing w:val="-7"/>
                        <w:sz w:val="20"/>
                      </w:rPr>
                      <w:t> </w:t>
                    </w:r>
                    <w:r>
                      <w:rPr>
                        <w:sz w:val="20"/>
                      </w:rPr>
                      <w:t>enjeux</w:t>
                    </w:r>
                    <w:r>
                      <w:rPr>
                        <w:spacing w:val="-5"/>
                        <w:sz w:val="20"/>
                      </w:rPr>
                      <w:t> </w:t>
                    </w:r>
                    <w:r>
                      <w:rPr>
                        <w:sz w:val="20"/>
                      </w:rPr>
                      <w:t>sociétaux</w:t>
                    </w:r>
                    <w:r>
                      <w:rPr>
                        <w:spacing w:val="-6"/>
                        <w:sz w:val="20"/>
                      </w:rPr>
                      <w:t> </w:t>
                    </w:r>
                    <w:r>
                      <w:rPr>
                        <w:sz w:val="20"/>
                      </w:rPr>
                      <w:t>dans</w:t>
                    </w:r>
                    <w:r>
                      <w:rPr>
                        <w:spacing w:val="-7"/>
                        <w:sz w:val="20"/>
                      </w:rPr>
                      <w:t> </w:t>
                    </w:r>
                    <w:r>
                      <w:rPr>
                        <w:sz w:val="20"/>
                      </w:rPr>
                      <w:t>l’ouest</w:t>
                    </w:r>
                    <w:r>
                      <w:rPr>
                        <w:spacing w:val="-4"/>
                        <w:sz w:val="20"/>
                      </w:rPr>
                      <w:t> </w:t>
                    </w:r>
                    <w:r>
                      <w:rPr>
                        <w:spacing w:val="-10"/>
                        <w:sz w:val="20"/>
                      </w:rPr>
                      <w:t>…</w:t>
                    </w:r>
                  </w:p>
                </w:txbxContent>
              </v:textbox>
              <w10:wrap type="none"/>
            </v:shape>
          </w:pict>
        </mc:Fallback>
      </mc:AlternateContent>
    </w:r>
  </w:p>
</w:hdr>
</file>

<file path=word/header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rPr>
        <w:sz w:val="20"/>
      </w:rPr>
    </w:pPr>
    <w:r>
      <w:rPr/>
      <mc:AlternateContent>
        <mc:Choice Requires="wps">
          <w:drawing>
            <wp:anchor distT="0" distB="0" distL="0" distR="0" allowOverlap="1" layoutInCell="1" locked="0" behindDoc="1" simplePos="0" relativeHeight="487459328">
              <wp:simplePos x="0" y="0"/>
              <wp:positionH relativeFrom="page">
                <wp:posOffset>3279140</wp:posOffset>
              </wp:positionH>
              <wp:positionV relativeFrom="page">
                <wp:posOffset>260149</wp:posOffset>
              </wp:positionV>
              <wp:extent cx="1001394" cy="165735"/>
              <wp:effectExtent l="0" t="0" r="0" b="0"/>
              <wp:wrapNone/>
              <wp:docPr id="7" name="Textbox 7"/>
              <wp:cNvGraphicFramePr>
                <a:graphicFrameLocks/>
              </wp:cNvGraphicFramePr>
              <a:graphic>
                <a:graphicData uri="http://schemas.microsoft.com/office/word/2010/wordprocessingShape">
                  <wps:wsp>
                    <wps:cNvPr id="7" name="Textbox 7"/>
                    <wps:cNvSpPr txBox="1"/>
                    <wps:spPr>
                      <a:xfrm>
                        <a:off x="0" y="0"/>
                        <a:ext cx="1001394" cy="165735"/>
                      </a:xfrm>
                      <a:prstGeom prst="rect">
                        <a:avLst/>
                      </a:prstGeom>
                    </wps:spPr>
                    <wps:txbx>
                      <w:txbxContent>
                        <w:p>
                          <w:pPr>
                            <w:spacing w:before="10"/>
                            <w:ind w:left="20" w:right="0" w:firstLine="0"/>
                            <w:jc w:val="left"/>
                            <w:rPr>
                              <w:sz w:val="20"/>
                            </w:rPr>
                          </w:pPr>
                          <w:r>
                            <w:rPr>
                              <w:sz w:val="20"/>
                            </w:rPr>
                            <w:t>Amidou</w:t>
                          </w:r>
                          <w:r>
                            <w:rPr>
                              <w:spacing w:val="-8"/>
                              <w:sz w:val="20"/>
                            </w:rPr>
                            <w:t> </w:t>
                          </w:r>
                          <w:r>
                            <w:rPr>
                              <w:spacing w:val="-2"/>
                              <w:sz w:val="20"/>
                            </w:rPr>
                            <w:t>SANOGO</w:t>
                          </w:r>
                        </w:p>
                      </w:txbxContent>
                    </wps:txbx>
                    <wps:bodyPr wrap="square" lIns="0" tIns="0" rIns="0" bIns="0" rtlCol="0">
                      <a:noAutofit/>
                    </wps:bodyPr>
                  </wps:wsp>
                </a:graphicData>
              </a:graphic>
            </wp:anchor>
          </w:drawing>
        </mc:Choice>
        <mc:Fallback>
          <w:pict>
            <v:shape style="position:absolute;margin-left:258.200012pt;margin-top:20.484177pt;width:78.850pt;height:13.05pt;mso-position-horizontal-relative:page;mso-position-vertical-relative:page;z-index:-15857152" type="#_x0000_t202" id="docshape5" filled="false" stroked="false">
              <v:textbox inset="0,0,0,0">
                <w:txbxContent>
                  <w:p>
                    <w:pPr>
                      <w:spacing w:before="10"/>
                      <w:ind w:left="20" w:right="0" w:firstLine="0"/>
                      <w:jc w:val="left"/>
                      <w:rPr>
                        <w:sz w:val="20"/>
                      </w:rPr>
                    </w:pPr>
                    <w:r>
                      <w:rPr>
                        <w:sz w:val="20"/>
                      </w:rPr>
                      <w:t>Amidou</w:t>
                    </w:r>
                    <w:r>
                      <w:rPr>
                        <w:spacing w:val="-8"/>
                        <w:sz w:val="20"/>
                      </w:rPr>
                      <w:t> </w:t>
                    </w:r>
                    <w:r>
                      <w:rPr>
                        <w:spacing w:val="-2"/>
                        <w:sz w:val="20"/>
                      </w:rPr>
                      <w:t>SANOGO</w:t>
                    </w:r>
                  </w:p>
                </w:txbxContent>
              </v:textbox>
              <w10:wrap type="none"/>
            </v:shape>
          </w:pict>
        </mc:Fallback>
      </mc:AlternateContent>
    </w:r>
  </w:p>
</w:hdr>
</file>

<file path=word/header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rPr>
        <w:sz w:val="20"/>
      </w:rPr>
    </w:pPr>
    <w:r>
      <w:rPr/>
      <mc:AlternateContent>
        <mc:Choice Requires="wps">
          <w:drawing>
            <wp:anchor distT="0" distB="0" distL="0" distR="0" allowOverlap="1" layoutInCell="1" locked="0" behindDoc="1" simplePos="0" relativeHeight="487460864">
              <wp:simplePos x="0" y="0"/>
              <wp:positionH relativeFrom="page">
                <wp:posOffset>887983</wp:posOffset>
              </wp:positionH>
              <wp:positionV relativeFrom="page">
                <wp:posOffset>260149</wp:posOffset>
              </wp:positionV>
              <wp:extent cx="5669915" cy="165735"/>
              <wp:effectExtent l="0" t="0" r="0" b="0"/>
              <wp:wrapNone/>
              <wp:docPr id="15" name="Textbox 15"/>
              <wp:cNvGraphicFramePr>
                <a:graphicFrameLocks/>
              </wp:cNvGraphicFramePr>
              <a:graphic>
                <a:graphicData uri="http://schemas.microsoft.com/office/word/2010/wordprocessingShape">
                  <wps:wsp>
                    <wps:cNvPr id="15" name="Textbox 15"/>
                    <wps:cNvSpPr txBox="1"/>
                    <wps:spPr>
                      <a:xfrm>
                        <a:off x="0" y="0"/>
                        <a:ext cx="5669915" cy="165735"/>
                      </a:xfrm>
                      <a:prstGeom prst="rect">
                        <a:avLst/>
                      </a:prstGeom>
                    </wps:spPr>
                    <wps:txbx>
                      <w:txbxContent>
                        <w:p>
                          <w:pPr>
                            <w:spacing w:before="10"/>
                            <w:ind w:left="20" w:right="0" w:firstLine="0"/>
                            <w:jc w:val="left"/>
                            <w:rPr>
                              <w:sz w:val="20"/>
                            </w:rPr>
                          </w:pPr>
                          <w:r>
                            <w:rPr>
                              <w:sz w:val="20"/>
                            </w:rPr>
                            <w:t>Etudes</w:t>
                          </w:r>
                          <w:r>
                            <w:rPr>
                              <w:spacing w:val="-7"/>
                              <w:sz w:val="20"/>
                            </w:rPr>
                            <w:t> </w:t>
                          </w:r>
                          <w:r>
                            <w:rPr>
                              <w:sz w:val="20"/>
                            </w:rPr>
                            <w:t>pragmatico-énonciatives</w:t>
                          </w:r>
                          <w:r>
                            <w:rPr>
                              <w:spacing w:val="-6"/>
                              <w:sz w:val="20"/>
                            </w:rPr>
                            <w:t> </w:t>
                          </w:r>
                          <w:r>
                            <w:rPr>
                              <w:sz w:val="20"/>
                            </w:rPr>
                            <w:t>d’une</w:t>
                          </w:r>
                          <w:r>
                            <w:rPr>
                              <w:spacing w:val="-5"/>
                              <w:sz w:val="20"/>
                            </w:rPr>
                            <w:t> </w:t>
                          </w:r>
                          <w:r>
                            <w:rPr>
                              <w:sz w:val="20"/>
                            </w:rPr>
                            <w:t>alliance</w:t>
                          </w:r>
                          <w:r>
                            <w:rPr>
                              <w:spacing w:val="-7"/>
                              <w:sz w:val="20"/>
                            </w:rPr>
                            <w:t> </w:t>
                          </w:r>
                          <w:r>
                            <w:rPr>
                              <w:sz w:val="20"/>
                            </w:rPr>
                            <w:t>interethnique,</w:t>
                          </w:r>
                          <w:r>
                            <w:rPr>
                              <w:spacing w:val="-4"/>
                              <w:sz w:val="20"/>
                            </w:rPr>
                            <w:t> </w:t>
                          </w:r>
                          <w:r>
                            <w:rPr>
                              <w:sz w:val="20"/>
                            </w:rPr>
                            <w:t>les</w:t>
                          </w:r>
                          <w:r>
                            <w:rPr>
                              <w:spacing w:val="-7"/>
                              <w:sz w:val="20"/>
                            </w:rPr>
                            <w:t> </w:t>
                          </w:r>
                          <w:r>
                            <w:rPr>
                              <w:sz w:val="20"/>
                            </w:rPr>
                            <w:t>Anakounya</w:t>
                          </w:r>
                          <w:r>
                            <w:rPr>
                              <w:spacing w:val="-6"/>
                              <w:sz w:val="20"/>
                            </w:rPr>
                            <w:t> </w:t>
                          </w:r>
                          <w:r>
                            <w:rPr>
                              <w:sz w:val="20"/>
                            </w:rPr>
                            <w:t>:</w:t>
                          </w:r>
                          <w:r>
                            <w:rPr>
                              <w:spacing w:val="-7"/>
                              <w:sz w:val="20"/>
                            </w:rPr>
                            <w:t> </w:t>
                          </w:r>
                          <w:r>
                            <w:rPr>
                              <w:sz w:val="20"/>
                            </w:rPr>
                            <w:t>enjeux</w:t>
                          </w:r>
                          <w:r>
                            <w:rPr>
                              <w:spacing w:val="-5"/>
                              <w:sz w:val="20"/>
                            </w:rPr>
                            <w:t> </w:t>
                          </w:r>
                          <w:r>
                            <w:rPr>
                              <w:sz w:val="20"/>
                            </w:rPr>
                            <w:t>sociétaux</w:t>
                          </w:r>
                          <w:r>
                            <w:rPr>
                              <w:spacing w:val="-6"/>
                              <w:sz w:val="20"/>
                            </w:rPr>
                            <w:t> </w:t>
                          </w:r>
                          <w:r>
                            <w:rPr>
                              <w:sz w:val="20"/>
                            </w:rPr>
                            <w:t>dans</w:t>
                          </w:r>
                          <w:r>
                            <w:rPr>
                              <w:spacing w:val="-7"/>
                              <w:sz w:val="20"/>
                            </w:rPr>
                            <w:t> </w:t>
                          </w:r>
                          <w:r>
                            <w:rPr>
                              <w:sz w:val="20"/>
                            </w:rPr>
                            <w:t>l’ouest</w:t>
                          </w:r>
                          <w:r>
                            <w:rPr>
                              <w:spacing w:val="-4"/>
                              <w:sz w:val="20"/>
                            </w:rPr>
                            <w:t> </w:t>
                          </w:r>
                          <w:r>
                            <w:rPr>
                              <w:spacing w:val="-10"/>
                              <w:sz w:val="20"/>
                            </w:rPr>
                            <w:t>…</w:t>
                          </w:r>
                        </w:p>
                      </w:txbxContent>
                    </wps:txbx>
                    <wps:bodyPr wrap="square" lIns="0" tIns="0" rIns="0" bIns="0" rtlCol="0">
                      <a:noAutofit/>
                    </wps:bodyPr>
                  </wps:wsp>
                </a:graphicData>
              </a:graphic>
            </wp:anchor>
          </w:drawing>
        </mc:Choice>
        <mc:Fallback>
          <w:pict>
            <v:shape style="position:absolute;margin-left:69.919998pt;margin-top:20.484177pt;width:446.45pt;height:13.05pt;mso-position-horizontal-relative:page;mso-position-vertical-relative:page;z-index:-15855616" type="#_x0000_t202" id="docshape13" filled="false" stroked="false">
              <v:textbox inset="0,0,0,0">
                <w:txbxContent>
                  <w:p>
                    <w:pPr>
                      <w:spacing w:before="10"/>
                      <w:ind w:left="20" w:right="0" w:firstLine="0"/>
                      <w:jc w:val="left"/>
                      <w:rPr>
                        <w:sz w:val="20"/>
                      </w:rPr>
                    </w:pPr>
                    <w:r>
                      <w:rPr>
                        <w:sz w:val="20"/>
                      </w:rPr>
                      <w:t>Etudes</w:t>
                    </w:r>
                    <w:r>
                      <w:rPr>
                        <w:spacing w:val="-7"/>
                        <w:sz w:val="20"/>
                      </w:rPr>
                      <w:t> </w:t>
                    </w:r>
                    <w:r>
                      <w:rPr>
                        <w:sz w:val="20"/>
                      </w:rPr>
                      <w:t>pragmatico-énonciatives</w:t>
                    </w:r>
                    <w:r>
                      <w:rPr>
                        <w:spacing w:val="-6"/>
                        <w:sz w:val="20"/>
                      </w:rPr>
                      <w:t> </w:t>
                    </w:r>
                    <w:r>
                      <w:rPr>
                        <w:sz w:val="20"/>
                      </w:rPr>
                      <w:t>d’une</w:t>
                    </w:r>
                    <w:r>
                      <w:rPr>
                        <w:spacing w:val="-5"/>
                        <w:sz w:val="20"/>
                      </w:rPr>
                      <w:t> </w:t>
                    </w:r>
                    <w:r>
                      <w:rPr>
                        <w:sz w:val="20"/>
                      </w:rPr>
                      <w:t>alliance</w:t>
                    </w:r>
                    <w:r>
                      <w:rPr>
                        <w:spacing w:val="-7"/>
                        <w:sz w:val="20"/>
                      </w:rPr>
                      <w:t> </w:t>
                    </w:r>
                    <w:r>
                      <w:rPr>
                        <w:sz w:val="20"/>
                      </w:rPr>
                      <w:t>interethnique,</w:t>
                    </w:r>
                    <w:r>
                      <w:rPr>
                        <w:spacing w:val="-4"/>
                        <w:sz w:val="20"/>
                      </w:rPr>
                      <w:t> </w:t>
                    </w:r>
                    <w:r>
                      <w:rPr>
                        <w:sz w:val="20"/>
                      </w:rPr>
                      <w:t>les</w:t>
                    </w:r>
                    <w:r>
                      <w:rPr>
                        <w:spacing w:val="-7"/>
                        <w:sz w:val="20"/>
                      </w:rPr>
                      <w:t> </w:t>
                    </w:r>
                    <w:r>
                      <w:rPr>
                        <w:sz w:val="20"/>
                      </w:rPr>
                      <w:t>Anakounya</w:t>
                    </w:r>
                    <w:r>
                      <w:rPr>
                        <w:spacing w:val="-6"/>
                        <w:sz w:val="20"/>
                      </w:rPr>
                      <w:t> </w:t>
                    </w:r>
                    <w:r>
                      <w:rPr>
                        <w:sz w:val="20"/>
                      </w:rPr>
                      <w:t>:</w:t>
                    </w:r>
                    <w:r>
                      <w:rPr>
                        <w:spacing w:val="-7"/>
                        <w:sz w:val="20"/>
                      </w:rPr>
                      <w:t> </w:t>
                    </w:r>
                    <w:r>
                      <w:rPr>
                        <w:sz w:val="20"/>
                      </w:rPr>
                      <w:t>enjeux</w:t>
                    </w:r>
                    <w:r>
                      <w:rPr>
                        <w:spacing w:val="-5"/>
                        <w:sz w:val="20"/>
                      </w:rPr>
                      <w:t> </w:t>
                    </w:r>
                    <w:r>
                      <w:rPr>
                        <w:sz w:val="20"/>
                      </w:rPr>
                      <w:t>sociétaux</w:t>
                    </w:r>
                    <w:r>
                      <w:rPr>
                        <w:spacing w:val="-6"/>
                        <w:sz w:val="20"/>
                      </w:rPr>
                      <w:t> </w:t>
                    </w:r>
                    <w:r>
                      <w:rPr>
                        <w:sz w:val="20"/>
                      </w:rPr>
                      <w:t>dans</w:t>
                    </w:r>
                    <w:r>
                      <w:rPr>
                        <w:spacing w:val="-7"/>
                        <w:sz w:val="20"/>
                      </w:rPr>
                      <w:t> </w:t>
                    </w:r>
                    <w:r>
                      <w:rPr>
                        <w:sz w:val="20"/>
                      </w:rPr>
                      <w:t>l’ouest</w:t>
                    </w:r>
                    <w:r>
                      <w:rPr>
                        <w:spacing w:val="-4"/>
                        <w:sz w:val="20"/>
                      </w:rPr>
                      <w:t> </w:t>
                    </w:r>
                    <w:r>
                      <w:rPr>
                        <w:spacing w:val="-10"/>
                        <w:sz w:val="20"/>
                      </w:rPr>
                      <w:t>…</w:t>
                    </w:r>
                  </w:p>
                </w:txbxContent>
              </v:textbox>
              <w10:wrap type="none"/>
            </v:shape>
          </w:pict>
        </mc:Fallback>
      </mc:AlternateContent>
    </w:r>
  </w:p>
</w:hdr>
</file>

<file path=word/header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rPr>
        <w:sz w:val="20"/>
      </w:rPr>
    </w:pPr>
    <w:r>
      <w:rPr/>
      <mc:AlternateContent>
        <mc:Choice Requires="wps">
          <w:drawing>
            <wp:anchor distT="0" distB="0" distL="0" distR="0" allowOverlap="1" layoutInCell="1" locked="0" behindDoc="1" simplePos="0" relativeHeight="487461376">
              <wp:simplePos x="0" y="0"/>
              <wp:positionH relativeFrom="page">
                <wp:posOffset>3279140</wp:posOffset>
              </wp:positionH>
              <wp:positionV relativeFrom="page">
                <wp:posOffset>260149</wp:posOffset>
              </wp:positionV>
              <wp:extent cx="1001394" cy="165735"/>
              <wp:effectExtent l="0" t="0" r="0" b="0"/>
              <wp:wrapNone/>
              <wp:docPr id="16" name="Textbox 16"/>
              <wp:cNvGraphicFramePr>
                <a:graphicFrameLocks/>
              </wp:cNvGraphicFramePr>
              <a:graphic>
                <a:graphicData uri="http://schemas.microsoft.com/office/word/2010/wordprocessingShape">
                  <wps:wsp>
                    <wps:cNvPr id="16" name="Textbox 16"/>
                    <wps:cNvSpPr txBox="1"/>
                    <wps:spPr>
                      <a:xfrm>
                        <a:off x="0" y="0"/>
                        <a:ext cx="1001394" cy="165735"/>
                      </a:xfrm>
                      <a:prstGeom prst="rect">
                        <a:avLst/>
                      </a:prstGeom>
                    </wps:spPr>
                    <wps:txbx>
                      <w:txbxContent>
                        <w:p>
                          <w:pPr>
                            <w:spacing w:before="10"/>
                            <w:ind w:left="20" w:right="0" w:firstLine="0"/>
                            <w:jc w:val="left"/>
                            <w:rPr>
                              <w:sz w:val="20"/>
                            </w:rPr>
                          </w:pPr>
                          <w:r>
                            <w:rPr>
                              <w:sz w:val="20"/>
                            </w:rPr>
                            <w:t>Amidou</w:t>
                          </w:r>
                          <w:r>
                            <w:rPr>
                              <w:spacing w:val="-8"/>
                              <w:sz w:val="20"/>
                            </w:rPr>
                            <w:t> </w:t>
                          </w:r>
                          <w:r>
                            <w:rPr>
                              <w:spacing w:val="-2"/>
                              <w:sz w:val="20"/>
                            </w:rPr>
                            <w:t>SANOGO</w:t>
                          </w:r>
                        </w:p>
                      </w:txbxContent>
                    </wps:txbx>
                    <wps:bodyPr wrap="square" lIns="0" tIns="0" rIns="0" bIns="0" rtlCol="0">
                      <a:noAutofit/>
                    </wps:bodyPr>
                  </wps:wsp>
                </a:graphicData>
              </a:graphic>
            </wp:anchor>
          </w:drawing>
        </mc:Choice>
        <mc:Fallback>
          <w:pict>
            <v:shape style="position:absolute;margin-left:258.200012pt;margin-top:20.484177pt;width:78.850pt;height:13.05pt;mso-position-horizontal-relative:page;mso-position-vertical-relative:page;z-index:-15855104" type="#_x0000_t202" id="docshape14" filled="false" stroked="false">
              <v:textbox inset="0,0,0,0">
                <w:txbxContent>
                  <w:p>
                    <w:pPr>
                      <w:spacing w:before="10"/>
                      <w:ind w:left="20" w:right="0" w:firstLine="0"/>
                      <w:jc w:val="left"/>
                      <w:rPr>
                        <w:sz w:val="20"/>
                      </w:rPr>
                    </w:pPr>
                    <w:r>
                      <w:rPr>
                        <w:sz w:val="20"/>
                      </w:rPr>
                      <w:t>Amidou</w:t>
                    </w:r>
                    <w:r>
                      <w:rPr>
                        <w:spacing w:val="-8"/>
                        <w:sz w:val="20"/>
                      </w:rPr>
                      <w:t> </w:t>
                    </w:r>
                    <w:r>
                      <w:rPr>
                        <w:spacing w:val="-2"/>
                        <w:sz w:val="20"/>
                      </w:rPr>
                      <w:t>SANOGO</w:t>
                    </w:r>
                  </w:p>
                </w:txbxContent>
              </v:textbox>
              <w10:wrap type="none"/>
            </v:shape>
          </w:pict>
        </mc:Fallback>
      </mc:AlternateConten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decimal"/>
      <w:lvlText w:val="%1."/>
      <w:lvlJc w:val="left"/>
      <w:pPr>
        <w:ind w:left="958" w:hanging="240"/>
        <w:jc w:val="left"/>
      </w:pPr>
      <w:rPr>
        <w:rFonts w:hint="default" w:ascii="Times New Roman" w:hAnsi="Times New Roman" w:eastAsia="Times New Roman" w:cs="Times New Roman"/>
        <w:b/>
        <w:bCs/>
        <w:i w:val="0"/>
        <w:iCs w:val="0"/>
        <w:spacing w:val="0"/>
        <w:w w:val="100"/>
        <w:sz w:val="24"/>
        <w:szCs w:val="24"/>
        <w:lang w:val="fr-FR" w:eastAsia="en-US" w:bidi="ar-SA"/>
      </w:rPr>
    </w:lvl>
    <w:lvl w:ilvl="1">
      <w:start w:val="1"/>
      <w:numFmt w:val="decimal"/>
      <w:lvlText w:val="%1.%2."/>
      <w:lvlJc w:val="left"/>
      <w:pPr>
        <w:ind w:left="1138" w:hanging="421"/>
        <w:jc w:val="left"/>
      </w:pPr>
      <w:rPr>
        <w:rFonts w:hint="default" w:ascii="Times New Roman" w:hAnsi="Times New Roman" w:eastAsia="Times New Roman" w:cs="Times New Roman"/>
        <w:b/>
        <w:bCs/>
        <w:i w:val="0"/>
        <w:iCs w:val="0"/>
        <w:spacing w:val="0"/>
        <w:w w:val="100"/>
        <w:sz w:val="24"/>
        <w:szCs w:val="24"/>
        <w:lang w:val="fr-FR" w:eastAsia="en-US" w:bidi="ar-SA"/>
      </w:rPr>
    </w:lvl>
    <w:lvl w:ilvl="2">
      <w:start w:val="0"/>
      <w:numFmt w:val="bullet"/>
      <w:lvlText w:val="•"/>
      <w:lvlJc w:val="left"/>
      <w:pPr>
        <w:ind w:left="2229" w:hanging="421"/>
      </w:pPr>
      <w:rPr>
        <w:rFonts w:hint="default"/>
        <w:lang w:val="fr-FR" w:eastAsia="en-US" w:bidi="ar-SA"/>
      </w:rPr>
    </w:lvl>
    <w:lvl w:ilvl="3">
      <w:start w:val="0"/>
      <w:numFmt w:val="bullet"/>
      <w:lvlText w:val="•"/>
      <w:lvlJc w:val="left"/>
      <w:pPr>
        <w:ind w:left="3319" w:hanging="421"/>
      </w:pPr>
      <w:rPr>
        <w:rFonts w:hint="default"/>
        <w:lang w:val="fr-FR" w:eastAsia="en-US" w:bidi="ar-SA"/>
      </w:rPr>
    </w:lvl>
    <w:lvl w:ilvl="4">
      <w:start w:val="0"/>
      <w:numFmt w:val="bullet"/>
      <w:lvlText w:val="•"/>
      <w:lvlJc w:val="left"/>
      <w:pPr>
        <w:ind w:left="4408" w:hanging="421"/>
      </w:pPr>
      <w:rPr>
        <w:rFonts w:hint="default"/>
        <w:lang w:val="fr-FR" w:eastAsia="en-US" w:bidi="ar-SA"/>
      </w:rPr>
    </w:lvl>
    <w:lvl w:ilvl="5">
      <w:start w:val="0"/>
      <w:numFmt w:val="bullet"/>
      <w:lvlText w:val="•"/>
      <w:lvlJc w:val="left"/>
      <w:pPr>
        <w:ind w:left="5498" w:hanging="421"/>
      </w:pPr>
      <w:rPr>
        <w:rFonts w:hint="default"/>
        <w:lang w:val="fr-FR" w:eastAsia="en-US" w:bidi="ar-SA"/>
      </w:rPr>
    </w:lvl>
    <w:lvl w:ilvl="6">
      <w:start w:val="0"/>
      <w:numFmt w:val="bullet"/>
      <w:lvlText w:val="•"/>
      <w:lvlJc w:val="left"/>
      <w:pPr>
        <w:ind w:left="6588" w:hanging="421"/>
      </w:pPr>
      <w:rPr>
        <w:rFonts w:hint="default"/>
        <w:lang w:val="fr-FR" w:eastAsia="en-US" w:bidi="ar-SA"/>
      </w:rPr>
    </w:lvl>
    <w:lvl w:ilvl="7">
      <w:start w:val="0"/>
      <w:numFmt w:val="bullet"/>
      <w:lvlText w:val="•"/>
      <w:lvlJc w:val="left"/>
      <w:pPr>
        <w:ind w:left="7677" w:hanging="421"/>
      </w:pPr>
      <w:rPr>
        <w:rFonts w:hint="default"/>
        <w:lang w:val="fr-FR" w:eastAsia="en-US" w:bidi="ar-SA"/>
      </w:rPr>
    </w:lvl>
    <w:lvl w:ilvl="8">
      <w:start w:val="0"/>
      <w:numFmt w:val="bullet"/>
      <w:lvlText w:val="•"/>
      <w:lvlJc w:val="left"/>
      <w:pPr>
        <w:ind w:left="8767" w:hanging="421"/>
      </w:pPr>
      <w:rPr>
        <w:rFonts w:hint="default"/>
        <w:lang w:val="fr-FR" w:eastAsia="en-US" w:bidi="ar-S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fr-FR" w:eastAsia="en-US" w:bidi="ar-SA"/>
    </w:rPr>
  </w:style>
  <w:style w:styleId="BodyText" w:type="paragraph">
    <w:name w:val="Body Text"/>
    <w:basedOn w:val="Normal"/>
    <w:uiPriority w:val="1"/>
    <w:qFormat/>
    <w:pPr>
      <w:ind w:left="718"/>
    </w:pPr>
    <w:rPr>
      <w:rFonts w:ascii="Times New Roman" w:hAnsi="Times New Roman" w:eastAsia="Times New Roman" w:cs="Times New Roman"/>
      <w:sz w:val="24"/>
      <w:szCs w:val="24"/>
      <w:lang w:val="fr-FR" w:eastAsia="en-US" w:bidi="ar-SA"/>
    </w:rPr>
  </w:style>
  <w:style w:styleId="Heading1" w:type="paragraph">
    <w:name w:val="Heading 1"/>
    <w:basedOn w:val="Normal"/>
    <w:uiPriority w:val="1"/>
    <w:qFormat/>
    <w:pPr>
      <w:spacing w:before="123"/>
      <w:ind w:left="718"/>
      <w:jc w:val="both"/>
      <w:outlineLvl w:val="1"/>
    </w:pPr>
    <w:rPr>
      <w:rFonts w:ascii="Times New Roman" w:hAnsi="Times New Roman" w:eastAsia="Times New Roman" w:cs="Times New Roman"/>
      <w:b/>
      <w:bCs/>
      <w:sz w:val="24"/>
      <w:szCs w:val="24"/>
      <w:lang w:val="fr-FR" w:eastAsia="en-US" w:bidi="ar-SA"/>
    </w:rPr>
  </w:style>
  <w:style w:styleId="Title" w:type="paragraph">
    <w:name w:val="Title"/>
    <w:basedOn w:val="Normal"/>
    <w:uiPriority w:val="1"/>
    <w:qFormat/>
    <w:pPr>
      <w:spacing w:before="15"/>
      <w:ind w:left="751" w:right="1189"/>
      <w:jc w:val="center"/>
    </w:pPr>
    <w:rPr>
      <w:rFonts w:ascii="Calibri" w:hAnsi="Calibri" w:eastAsia="Calibri" w:cs="Calibri"/>
      <w:b/>
      <w:bCs/>
      <w:i/>
      <w:iCs/>
      <w:sz w:val="32"/>
      <w:szCs w:val="32"/>
      <w:lang w:val="fr-FR" w:eastAsia="en-US" w:bidi="ar-SA"/>
    </w:rPr>
  </w:style>
  <w:style w:styleId="ListParagraph" w:type="paragraph">
    <w:name w:val="List Paragraph"/>
    <w:basedOn w:val="Normal"/>
    <w:uiPriority w:val="1"/>
    <w:qFormat/>
    <w:pPr>
      <w:spacing w:before="123"/>
      <w:ind w:left="1138" w:hanging="420"/>
      <w:jc w:val="both"/>
    </w:pPr>
    <w:rPr>
      <w:rFonts w:ascii="Times New Roman" w:hAnsi="Times New Roman" w:eastAsia="Times New Roman" w:cs="Times New Roman"/>
      <w:lang w:val="fr-FR" w:eastAsia="en-US" w:bidi="ar-SA"/>
    </w:rPr>
  </w:style>
  <w:style w:styleId="TableParagraph" w:type="paragraph">
    <w:name w:val="Table Paragraph"/>
    <w:basedOn w:val="Normal"/>
    <w:uiPriority w:val="1"/>
    <w:qFormat/>
    <w:pPr/>
    <w:rPr>
      <w:lang w:val="fr-FR"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footer" Target="footer2.xml"/><Relationship Id="rId7" Type="http://schemas.openxmlformats.org/officeDocument/2006/relationships/image" Target="media/image1.jpeg"/><Relationship Id="rId8" Type="http://schemas.openxmlformats.org/officeDocument/2006/relationships/image" Target="media/image2.png"/><Relationship Id="rId9" Type="http://schemas.openxmlformats.org/officeDocument/2006/relationships/hyperlink" Target="mailto:persona.js62@gmail.com" TargetMode="External"/><Relationship Id="rId10" Type="http://schemas.openxmlformats.org/officeDocument/2006/relationships/header" Target="header1.xml"/><Relationship Id="rId11" Type="http://schemas.openxmlformats.org/officeDocument/2006/relationships/header" Target="header2.xml"/><Relationship Id="rId12" Type="http://schemas.openxmlformats.org/officeDocument/2006/relationships/footer" Target="footer3.xml"/><Relationship Id="rId13" Type="http://schemas.openxmlformats.org/officeDocument/2006/relationships/footer" Target="footer4.xml"/><Relationship Id="rId14" Type="http://schemas.openxmlformats.org/officeDocument/2006/relationships/header" Target="header3.xml"/><Relationship Id="rId15" Type="http://schemas.openxmlformats.org/officeDocument/2006/relationships/header" Target="header4.xml"/><Relationship Id="rId16" Type="http://schemas.openxmlformats.org/officeDocument/2006/relationships/footer" Target="footer5.xml"/><Relationship Id="rId17" Type="http://schemas.openxmlformats.org/officeDocument/2006/relationships/footer" Target="footer6.xml"/><Relationship Id="rId18" Type="http://schemas.openxmlformats.org/officeDocument/2006/relationships/hyperlink" Target="http://www.endasigie.org/bases/sigie/ressources/edocs-ndi_patronym-parent-" TargetMode="External"/><Relationship Id="rId19" Type="http://schemas.openxmlformats.org/officeDocument/2006/relationships/hyperlink" Target="http://africanistes.revues.org/636consult&#233;" TargetMode="External"/><Relationship Id="rId2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dc:title>Microsoft Word - V1NS6</dc:title>
  <dcterms:created xsi:type="dcterms:W3CDTF">2024-11-17T12:32:35Z</dcterms:created>
  <dcterms:modified xsi:type="dcterms:W3CDTF">2024-11-17T12:32:35Z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2022-01-10T00:00:00Z</vt:filetime>
  </property>
  <property fmtid="{D5CDD505-2E9C-101B-9397-08002B2CF9AE}" pid="3" name="LastSaved">
    <vt:filetime>2024-11-17T00:00:00Z</vt:filetime>
  </property>
  <property fmtid="{D5CDD505-2E9C-101B-9397-08002B2CF9AE}" pid="4" name="Producer">
    <vt:lpwstr>Microsoft: Print To PDF</vt:lpwstr>
  </property>
</Properties>
</file>