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099" w:rsidRPr="002C3E13" w:rsidRDefault="003A0099" w:rsidP="00402C99">
      <w:pPr>
        <w:autoSpaceDE w:val="0"/>
        <w:autoSpaceDN w:val="0"/>
        <w:bidi/>
        <w:adjustRightInd w:val="0"/>
        <w:spacing w:after="0" w:line="240" w:lineRule="auto"/>
        <w:jc w:val="center"/>
        <w:rPr>
          <w:rFonts w:ascii="Simplified Arabic" w:hAnsi="Simplified Arabic" w:cs="Simplified Arabic"/>
          <w:b/>
          <w:bCs/>
          <w:color w:val="000000"/>
          <w:sz w:val="32"/>
          <w:szCs w:val="32"/>
          <w:rtl/>
          <w:lang w:bidi="ar-DZ"/>
        </w:rPr>
      </w:pPr>
      <w:bookmarkStart w:id="0" w:name="_Hlk72954477"/>
      <w:r w:rsidRPr="002C3E13">
        <w:rPr>
          <w:rFonts w:ascii="Simplified Arabic" w:hAnsi="Simplified Arabic" w:cs="Simplified Arabic"/>
          <w:b/>
          <w:bCs/>
          <w:color w:val="000000"/>
          <w:sz w:val="32"/>
          <w:szCs w:val="32"/>
          <w:rtl/>
          <w:lang w:bidi="ar-DZ"/>
        </w:rPr>
        <w:t>بنائية الخطاب الفلسفي</w:t>
      </w:r>
    </w:p>
    <w:bookmarkEnd w:id="0"/>
    <w:p w:rsidR="003A0099" w:rsidRPr="00402C99" w:rsidRDefault="003A0099" w:rsidP="00402C99">
      <w:pPr>
        <w:autoSpaceDE w:val="0"/>
        <w:autoSpaceDN w:val="0"/>
        <w:bidi/>
        <w:adjustRightInd w:val="0"/>
        <w:spacing w:after="0" w:line="240" w:lineRule="auto"/>
        <w:jc w:val="center"/>
        <w:rPr>
          <w:rFonts w:ascii="Simplified Arabic" w:hAnsi="Simplified Arabic" w:cs="Simplified Arabic"/>
          <w:b/>
          <w:bCs/>
          <w:color w:val="000000"/>
          <w:sz w:val="28"/>
          <w:szCs w:val="28"/>
          <w:rtl/>
          <w:lang w:bidi="ar-DZ"/>
        </w:rPr>
      </w:pPr>
      <w:r w:rsidRPr="00402C99">
        <w:rPr>
          <w:rFonts w:ascii="Simplified Arabic" w:hAnsi="Simplified Arabic" w:cs="Simplified Arabic"/>
          <w:b/>
          <w:bCs/>
          <w:color w:val="000000"/>
          <w:sz w:val="28"/>
          <w:szCs w:val="28"/>
        </w:rPr>
        <w:t>Construction of philosophical</w:t>
      </w:r>
      <w:r w:rsidR="000E60D2">
        <w:rPr>
          <w:rFonts w:ascii="Simplified Arabic" w:hAnsi="Simplified Arabic" w:cs="Simplified Arabic"/>
          <w:b/>
          <w:bCs/>
          <w:color w:val="000000"/>
          <w:sz w:val="28"/>
          <w:szCs w:val="28"/>
        </w:rPr>
        <w:t xml:space="preserve"> </w:t>
      </w:r>
      <w:r w:rsidRPr="00402C99">
        <w:rPr>
          <w:rFonts w:ascii="Simplified Arabic" w:hAnsi="Simplified Arabic" w:cs="Simplified Arabic"/>
          <w:b/>
          <w:bCs/>
          <w:color w:val="000000"/>
          <w:sz w:val="28"/>
          <w:szCs w:val="28"/>
        </w:rPr>
        <w:t>discourse</w:t>
      </w:r>
    </w:p>
    <w:p w:rsidR="00A70546" w:rsidRDefault="00A70546" w:rsidP="002C3E13">
      <w:pPr>
        <w:autoSpaceDE w:val="0"/>
        <w:autoSpaceDN w:val="0"/>
        <w:bidi/>
        <w:adjustRightInd w:val="0"/>
        <w:spacing w:after="0" w:line="240" w:lineRule="auto"/>
        <w:rPr>
          <w:rFonts w:ascii="Simplified Arabic" w:hAnsi="Simplified Arabic" w:cs="Simplified Arabic"/>
          <w:b/>
          <w:bCs/>
          <w:color w:val="000000"/>
          <w:sz w:val="28"/>
          <w:szCs w:val="28"/>
          <w:rtl/>
          <w:lang w:bidi="ar-DZ"/>
        </w:rPr>
      </w:pPr>
    </w:p>
    <w:p w:rsidR="00A27053" w:rsidRPr="00402C99" w:rsidRDefault="003A0099" w:rsidP="00A70546">
      <w:pPr>
        <w:autoSpaceDE w:val="0"/>
        <w:autoSpaceDN w:val="0"/>
        <w:bidi/>
        <w:adjustRightInd w:val="0"/>
        <w:spacing w:after="0" w:line="240" w:lineRule="auto"/>
        <w:jc w:val="center"/>
        <w:rPr>
          <w:rFonts w:ascii="Simplified Arabic" w:hAnsi="Simplified Arabic" w:cs="Simplified Arabic"/>
          <w:b/>
          <w:bCs/>
          <w:color w:val="000000"/>
          <w:sz w:val="28"/>
          <w:szCs w:val="28"/>
        </w:rPr>
      </w:pPr>
      <w:r w:rsidRPr="00402C99">
        <w:rPr>
          <w:rFonts w:ascii="Simplified Arabic" w:hAnsi="Simplified Arabic" w:cs="Simplified Arabic"/>
          <w:b/>
          <w:bCs/>
          <w:color w:val="000000"/>
          <w:sz w:val="28"/>
          <w:szCs w:val="28"/>
          <w:rtl/>
          <w:lang w:bidi="ar-DZ"/>
        </w:rPr>
        <w:t xml:space="preserve">زهير قوتال </w:t>
      </w:r>
      <w:r w:rsidR="00A27053" w:rsidRPr="00402C99">
        <w:rPr>
          <w:rFonts w:ascii="Simplified Arabic" w:hAnsi="Simplified Arabic" w:cs="Simplified Arabic"/>
          <w:b/>
          <w:bCs/>
          <w:color w:val="000000"/>
          <w:sz w:val="28"/>
          <w:szCs w:val="28"/>
        </w:rPr>
        <w:t xml:space="preserve"> 1</w:t>
      </w:r>
    </w:p>
    <w:p w:rsidR="00A27053" w:rsidRDefault="003A0099" w:rsidP="006E1587">
      <w:pPr>
        <w:autoSpaceDE w:val="0"/>
        <w:autoSpaceDN w:val="0"/>
        <w:bidi/>
        <w:adjustRightInd w:val="0"/>
        <w:spacing w:after="0" w:line="240" w:lineRule="auto"/>
        <w:jc w:val="center"/>
        <w:rPr>
          <w:rFonts w:ascii="Simplified Arabic" w:hAnsi="Simplified Arabic" w:cs="Simplified Arabic"/>
          <w:color w:val="000000"/>
          <w:sz w:val="28"/>
          <w:szCs w:val="28"/>
          <w:rtl/>
        </w:rPr>
      </w:pPr>
      <w:r w:rsidRPr="00402C99">
        <w:rPr>
          <w:rFonts w:ascii="Simplified Arabic" w:hAnsi="Simplified Arabic" w:cs="Simplified Arabic"/>
          <w:color w:val="000000"/>
          <w:sz w:val="28"/>
          <w:szCs w:val="28"/>
          <w:rtl/>
        </w:rPr>
        <w:t>جامعة محمد لمين دباغين</w:t>
      </w:r>
    </w:p>
    <w:p w:rsidR="006E1587" w:rsidRPr="00402C99" w:rsidRDefault="006E1587" w:rsidP="006E1587">
      <w:pPr>
        <w:autoSpaceDE w:val="0"/>
        <w:autoSpaceDN w:val="0"/>
        <w:bidi/>
        <w:adjustRightInd w:val="0"/>
        <w:spacing w:after="0" w:line="240" w:lineRule="auto"/>
        <w:jc w:val="center"/>
        <w:rPr>
          <w:rFonts w:ascii="Simplified Arabic" w:hAnsi="Simplified Arabic" w:cs="Simplified Arabic"/>
          <w:color w:val="000000"/>
          <w:sz w:val="28"/>
          <w:szCs w:val="28"/>
        </w:rPr>
      </w:pPr>
      <w:r>
        <w:rPr>
          <w:rFonts w:ascii="Helvetica" w:hAnsi="Helvetica"/>
          <w:color w:val="333333"/>
          <w:sz w:val="27"/>
          <w:szCs w:val="27"/>
          <w:shd w:val="clear" w:color="auto" w:fill="F5F5F5"/>
        </w:rPr>
        <w:t>gouttelzahir@yahoo.fr</w:t>
      </w:r>
    </w:p>
    <w:p w:rsidR="00A27053" w:rsidRPr="00402C99" w:rsidRDefault="00A27053" w:rsidP="00402C99">
      <w:pPr>
        <w:autoSpaceDE w:val="0"/>
        <w:autoSpaceDN w:val="0"/>
        <w:bidi/>
        <w:adjustRightInd w:val="0"/>
        <w:spacing w:after="0" w:line="240" w:lineRule="auto"/>
        <w:ind w:hanging="3"/>
        <w:jc w:val="both"/>
        <w:rPr>
          <w:rFonts w:ascii="Simplified Arabic" w:hAnsi="Simplified Arabic" w:cs="Simplified Arabic"/>
          <w:b/>
          <w:bCs/>
          <w:color w:val="000000"/>
          <w:sz w:val="28"/>
          <w:szCs w:val="28"/>
        </w:rPr>
      </w:pPr>
    </w:p>
    <w:p w:rsidR="006C539F" w:rsidRDefault="006C539F" w:rsidP="00826460">
      <w:pPr>
        <w:autoSpaceDE w:val="0"/>
        <w:autoSpaceDN w:val="0"/>
        <w:bidi/>
        <w:adjustRightInd w:val="0"/>
        <w:spacing w:after="0" w:line="240" w:lineRule="auto"/>
        <w:ind w:hanging="2"/>
        <w:jc w:val="both"/>
        <w:rPr>
          <w:rFonts w:ascii="Simplified Arabic" w:hAnsi="Simplified Arabic" w:cs="Simplified Arabic"/>
          <w:b/>
          <w:bCs/>
          <w:color w:val="000000"/>
          <w:sz w:val="28"/>
          <w:szCs w:val="28"/>
          <w:rtl/>
        </w:rPr>
      </w:pPr>
    </w:p>
    <w:p w:rsidR="000E60D2" w:rsidRPr="005820A5" w:rsidRDefault="006C539F" w:rsidP="005820A5">
      <w:pPr>
        <w:bidi/>
        <w:jc w:val="both"/>
        <w:rPr>
          <w:rFonts w:ascii="Helvetica" w:eastAsia="Times New Roman" w:hAnsi="Helvetica" w:cs="Helvetica"/>
          <w:color w:val="333333"/>
          <w:sz w:val="27"/>
          <w:szCs w:val="27"/>
          <w:rtl/>
          <w:lang w:val="en-US" w:bidi="ar-DZ"/>
        </w:rPr>
      </w:pPr>
      <w:r>
        <w:rPr>
          <w:rFonts w:ascii="Simplified Arabic" w:hAnsi="Simplified Arabic" w:cs="Simplified Arabic" w:hint="cs"/>
          <w:b/>
          <w:bCs/>
          <w:color w:val="000000"/>
          <w:sz w:val="28"/>
          <w:szCs w:val="28"/>
          <w:rtl/>
        </w:rPr>
        <w:t xml:space="preserve">تاريخ الإرسال: </w:t>
      </w:r>
      <w:r w:rsidR="005820A5" w:rsidRPr="005820A5">
        <w:rPr>
          <w:rFonts w:ascii="Helvetica" w:eastAsia="Times New Roman" w:hAnsi="Helvetica" w:cs="Helvetica"/>
          <w:color w:val="333333"/>
          <w:sz w:val="27"/>
          <w:szCs w:val="27"/>
          <w:lang w:val="en-US"/>
        </w:rPr>
        <w:t>2021-05-27</w:t>
      </w:r>
      <w:r>
        <w:rPr>
          <w:rFonts w:ascii="Simplified Arabic" w:hAnsi="Simplified Arabic" w:cs="Simplified Arabic" w:hint="cs"/>
          <w:b/>
          <w:bCs/>
          <w:color w:val="000000"/>
          <w:sz w:val="28"/>
          <w:szCs w:val="28"/>
          <w:rtl/>
        </w:rPr>
        <w:t xml:space="preserve">                 </w:t>
      </w:r>
      <w:r w:rsidR="005820A5">
        <w:rPr>
          <w:rFonts w:ascii="Simplified Arabic" w:hAnsi="Simplified Arabic" w:cs="Simplified Arabic" w:hint="cs"/>
          <w:b/>
          <w:bCs/>
          <w:color w:val="000000"/>
          <w:sz w:val="28"/>
          <w:szCs w:val="28"/>
          <w:rtl/>
        </w:rPr>
        <w:t xml:space="preserve">                      </w:t>
      </w:r>
      <w:r>
        <w:rPr>
          <w:rFonts w:ascii="Simplified Arabic" w:hAnsi="Simplified Arabic" w:cs="Simplified Arabic" w:hint="cs"/>
          <w:b/>
          <w:bCs/>
          <w:color w:val="000000"/>
          <w:sz w:val="28"/>
          <w:szCs w:val="28"/>
          <w:rtl/>
        </w:rPr>
        <w:t>تاريخ القبول:</w:t>
      </w:r>
      <w:r w:rsidR="005820A5" w:rsidRPr="005820A5">
        <w:rPr>
          <w:rFonts w:ascii="Helvetica" w:hAnsi="Helvetica" w:cs="Helvetica"/>
          <w:color w:val="333333"/>
          <w:sz w:val="27"/>
          <w:szCs w:val="27"/>
        </w:rPr>
        <w:t xml:space="preserve"> </w:t>
      </w:r>
      <w:r w:rsidR="005820A5" w:rsidRPr="005820A5">
        <w:rPr>
          <w:rFonts w:ascii="Helvetica" w:eastAsia="Times New Roman" w:hAnsi="Helvetica" w:cs="Helvetica"/>
          <w:color w:val="333333"/>
          <w:sz w:val="27"/>
          <w:szCs w:val="27"/>
          <w:lang w:val="en-US"/>
        </w:rPr>
        <w:t>2021-06-07</w:t>
      </w:r>
    </w:p>
    <w:p w:rsidR="006C539F" w:rsidRDefault="006C539F" w:rsidP="006C539F">
      <w:pPr>
        <w:autoSpaceDE w:val="0"/>
        <w:autoSpaceDN w:val="0"/>
        <w:bidi/>
        <w:adjustRightInd w:val="0"/>
        <w:spacing w:after="0" w:line="240" w:lineRule="auto"/>
        <w:ind w:hanging="2"/>
        <w:jc w:val="center"/>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تاريخ النشر:</w:t>
      </w:r>
      <w:r w:rsidR="005820A5">
        <w:rPr>
          <w:rFonts w:ascii="Simplified Arabic" w:hAnsi="Simplified Arabic" w:cs="Simplified Arabic" w:hint="cs"/>
          <w:b/>
          <w:bCs/>
          <w:color w:val="000000"/>
          <w:sz w:val="28"/>
          <w:szCs w:val="28"/>
          <w:rtl/>
        </w:rPr>
        <w:t>28/06/2021</w:t>
      </w:r>
    </w:p>
    <w:p w:rsidR="005820A5" w:rsidRDefault="005820A5" w:rsidP="005820A5">
      <w:pPr>
        <w:autoSpaceDE w:val="0"/>
        <w:autoSpaceDN w:val="0"/>
        <w:bidi/>
        <w:adjustRightInd w:val="0"/>
        <w:spacing w:after="0" w:line="240" w:lineRule="auto"/>
        <w:jc w:val="both"/>
        <w:rPr>
          <w:rFonts w:ascii="Simplified Arabic" w:hAnsi="Simplified Arabic" w:cs="Simplified Arabic"/>
          <w:b/>
          <w:bCs/>
          <w:color w:val="000000"/>
          <w:sz w:val="28"/>
          <w:szCs w:val="28"/>
          <w:rtl/>
        </w:rPr>
      </w:pPr>
    </w:p>
    <w:p w:rsidR="00A27053" w:rsidRPr="00402C99" w:rsidRDefault="00A27053" w:rsidP="005820A5">
      <w:pPr>
        <w:autoSpaceDE w:val="0"/>
        <w:autoSpaceDN w:val="0"/>
        <w:bidi/>
        <w:adjustRightInd w:val="0"/>
        <w:spacing w:after="0" w:line="240" w:lineRule="auto"/>
        <w:jc w:val="both"/>
        <w:rPr>
          <w:rFonts w:ascii="Simplified Arabic" w:hAnsi="Simplified Arabic" w:cs="Simplified Arabic"/>
          <w:b/>
          <w:bCs/>
          <w:color w:val="000000"/>
          <w:sz w:val="28"/>
          <w:szCs w:val="28"/>
        </w:rPr>
      </w:pPr>
      <w:r w:rsidRPr="00402C99">
        <w:rPr>
          <w:rFonts w:ascii="Simplified Arabic" w:hAnsi="Simplified Arabic" w:cs="Simplified Arabic"/>
          <w:b/>
          <w:bCs/>
          <w:color w:val="000000"/>
          <w:sz w:val="28"/>
          <w:szCs w:val="28"/>
          <w:rtl/>
        </w:rPr>
        <w:t>ملخص:</w:t>
      </w:r>
    </w:p>
    <w:p w:rsidR="003A0099" w:rsidRPr="00402C99" w:rsidRDefault="00826460" w:rsidP="00BC65FD">
      <w:pPr>
        <w:autoSpaceDE w:val="0"/>
        <w:autoSpaceDN w:val="0"/>
        <w:bidi/>
        <w:adjustRightInd w:val="0"/>
        <w:spacing w:after="0" w:line="240" w:lineRule="auto"/>
        <w:ind w:left="-2"/>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من المعلوم أنّ فعل التفلسف هو عملية فكرية لا تنفك عن الظهور والتجلي إلا عن طريق اللغة، وأنّ الفكر هو بالقوة ولا يتحول إلى فعل إلا إذا لبس لباس اللغة حتى يستحق شرف الوجود، وبالتالي</w:t>
      </w:r>
      <w:r w:rsidR="000E60D2">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 xml:space="preserve">فالخطاب الفلسفي ليس الإعلام عن الأفكار والطروحات بواسطة أصوات أو خطوط مرئية ورموز مشفرة مخصوصة، وإنما </w:t>
      </w:r>
      <w:r w:rsidR="00BC65FD">
        <w:rPr>
          <w:rFonts w:ascii="Simplified Arabic" w:eastAsia="ArialMT" w:hAnsi="Simplified Arabic" w:cs="Simplified Arabic" w:hint="cs"/>
          <w:color w:val="000000"/>
          <w:sz w:val="28"/>
          <w:szCs w:val="28"/>
          <w:rtl/>
          <w:lang w:bidi="ar-LB"/>
        </w:rPr>
        <w:t>هو</w:t>
      </w:r>
      <w:r w:rsidR="003A0099" w:rsidRPr="00402C99">
        <w:rPr>
          <w:rFonts w:ascii="Simplified Arabic" w:eastAsia="ArialMT" w:hAnsi="Simplified Arabic" w:cs="Simplified Arabic"/>
          <w:color w:val="000000"/>
          <w:sz w:val="28"/>
          <w:szCs w:val="28"/>
          <w:rtl/>
          <w:lang w:bidi="ar-LB"/>
        </w:rPr>
        <w:t xml:space="preserve"> الفعل الذي يخرج منه نص مقروء في لغة إنسانية طبيعية. كما أنّه من </w:t>
      </w:r>
      <w:r w:rsidR="00BC65FD">
        <w:rPr>
          <w:rFonts w:ascii="Simplified Arabic" w:eastAsia="ArialMT" w:hAnsi="Simplified Arabic" w:cs="Simplified Arabic" w:hint="cs"/>
          <w:color w:val="000000"/>
          <w:sz w:val="28"/>
          <w:szCs w:val="28"/>
          <w:rtl/>
          <w:lang w:bidi="ar-LB"/>
        </w:rPr>
        <w:t>ال</w:t>
      </w:r>
      <w:r w:rsidR="003A0099" w:rsidRPr="00402C99">
        <w:rPr>
          <w:rFonts w:ascii="Simplified Arabic" w:eastAsia="ArialMT" w:hAnsi="Simplified Arabic" w:cs="Simplified Arabic"/>
          <w:color w:val="000000"/>
          <w:sz w:val="28"/>
          <w:szCs w:val="28"/>
          <w:rtl/>
          <w:lang w:bidi="ar-LB"/>
        </w:rPr>
        <w:t>معلوم أنّ النص اللغوي هو عبارة عن تأليف تحته عمليات إنشائية وتصنيعية مختلفة، تجعل بعض المضامين الفكرية والأشكال والصيغ التعبيرية الطبيعية تتشابك وتتداخل فيما بينها، بحيث يتولد منها نسيج خطابي واحد "أو قل ينبني منها صرح مشيّد.</w:t>
      </w:r>
    </w:p>
    <w:p w:rsidR="003A0099" w:rsidRPr="00402C99" w:rsidRDefault="00826460" w:rsidP="00826460">
      <w:pPr>
        <w:autoSpaceDE w:val="0"/>
        <w:autoSpaceDN w:val="0"/>
        <w:bidi/>
        <w:adjustRightInd w:val="0"/>
        <w:spacing w:after="0" w:line="240" w:lineRule="auto"/>
        <w:ind w:left="-2"/>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ولما كان النص المؤلف في لسان طبيعي خاص مختلف عن نص في لسان طبيعي آخر، نظراً لاختلاف بلاغة الأشكال وطرائق الأساليب وأشكال التعبير باختلاف اللغات الإنسانية، لزم أن يأتي الخطاب الفلسفي على مقتضى النصية الخاصة بهذا اللسان الطبيعي الخاص فيكتب بأشكال البلاغة الخاصة به، لا على مقتضى نصية غيره حتى وإذا كان ترجمة له</w:t>
      </w:r>
    </w:p>
    <w:p w:rsidR="003A0099" w:rsidRPr="00402C99" w:rsidRDefault="00826460" w:rsidP="00826460">
      <w:pPr>
        <w:autoSpaceDE w:val="0"/>
        <w:autoSpaceDN w:val="0"/>
        <w:bidi/>
        <w:adjustRightInd w:val="0"/>
        <w:spacing w:after="0" w:line="240" w:lineRule="auto"/>
        <w:ind w:left="-2"/>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إنّ الفلسفة، أولاً وقبل كل شيء، هي خطاب، مما يشترط فيه مراعاة وضع المتلقي في الفهم، وللخطاب أصول محددة، وما لم يستقم للمتفلسف بناء قوله على هذه الأصول، فلا يمكن أن يطمع في أن يأتي بالإبداع فيه حتى ولو توفرت لهذا الفيلسوف كل الظروف المادية والاجتماعية والتاريخية والثقافية والسياسة، ذلك أنّ الإبداع الفلسفي يتعلق أساساً بإنشاء الخطاب الفلسفي من حيث هو لغة صريحة وفكر عميق.</w:t>
      </w:r>
    </w:p>
    <w:p w:rsidR="00A27053" w:rsidRDefault="00A27053" w:rsidP="00826460">
      <w:pPr>
        <w:autoSpaceDE w:val="0"/>
        <w:autoSpaceDN w:val="0"/>
        <w:bidi/>
        <w:adjustRightInd w:val="0"/>
        <w:spacing w:after="0" w:line="240" w:lineRule="auto"/>
        <w:ind w:left="-2"/>
        <w:jc w:val="both"/>
        <w:rPr>
          <w:rFonts w:ascii="Simplified Arabic" w:eastAsia="ArialMT" w:hAnsi="Simplified Arabic" w:cs="Simplified Arabic"/>
          <w:color w:val="000000"/>
          <w:sz w:val="28"/>
          <w:szCs w:val="28"/>
          <w:rtl/>
          <w:lang w:bidi="ar-LB"/>
        </w:rPr>
      </w:pPr>
      <w:r w:rsidRPr="00402C99">
        <w:rPr>
          <w:rFonts w:ascii="Simplified Arabic" w:hAnsi="Simplified Arabic" w:cs="Simplified Arabic"/>
          <w:b/>
          <w:bCs/>
          <w:color w:val="000000"/>
          <w:sz w:val="28"/>
          <w:szCs w:val="28"/>
          <w:rtl/>
        </w:rPr>
        <w:t>الكلمات</w:t>
      </w:r>
      <w:r w:rsidR="00402C99">
        <w:rPr>
          <w:rFonts w:ascii="Simplified Arabic" w:hAnsi="Simplified Arabic" w:cs="Simplified Arabic" w:hint="cs"/>
          <w:b/>
          <w:bCs/>
          <w:color w:val="000000"/>
          <w:sz w:val="28"/>
          <w:szCs w:val="28"/>
          <w:rtl/>
        </w:rPr>
        <w:t xml:space="preserve"> </w:t>
      </w:r>
      <w:r w:rsidRPr="00402C99">
        <w:rPr>
          <w:rFonts w:ascii="Simplified Arabic" w:hAnsi="Simplified Arabic" w:cs="Simplified Arabic"/>
          <w:b/>
          <w:bCs/>
          <w:color w:val="000000"/>
          <w:sz w:val="28"/>
          <w:szCs w:val="28"/>
          <w:rtl/>
        </w:rPr>
        <w:t xml:space="preserve">الدالة: </w:t>
      </w:r>
      <w:r w:rsidR="003A0099" w:rsidRPr="00402C99">
        <w:rPr>
          <w:rFonts w:ascii="Simplified Arabic" w:eastAsia="ArialMT" w:hAnsi="Simplified Arabic" w:cs="Simplified Arabic"/>
          <w:color w:val="000000"/>
          <w:sz w:val="28"/>
          <w:szCs w:val="28"/>
          <w:rtl/>
          <w:lang w:bidi="ar-LB"/>
        </w:rPr>
        <w:t>الخطاب، اللغة الطبيعية، اللغة الصناعية، المنطق،  اللغة الفلسفية.</w:t>
      </w:r>
    </w:p>
    <w:p w:rsidR="00402C99" w:rsidRPr="00402C99" w:rsidRDefault="00402C99" w:rsidP="00134E25">
      <w:pPr>
        <w:autoSpaceDE w:val="0"/>
        <w:autoSpaceDN w:val="0"/>
        <w:bidi/>
        <w:adjustRightInd w:val="0"/>
        <w:spacing w:after="0" w:line="240" w:lineRule="auto"/>
        <w:jc w:val="both"/>
        <w:rPr>
          <w:rFonts w:ascii="Simplified Arabic" w:eastAsia="ArialMT" w:hAnsi="Simplified Arabic" w:cs="Simplified Arabic"/>
          <w:color w:val="000000"/>
          <w:sz w:val="28"/>
          <w:szCs w:val="28"/>
          <w:lang w:bidi="ar-LB"/>
        </w:rPr>
      </w:pPr>
    </w:p>
    <w:p w:rsidR="00A27053" w:rsidRPr="00826460" w:rsidRDefault="00A27053" w:rsidP="005166BB">
      <w:pPr>
        <w:autoSpaceDE w:val="0"/>
        <w:autoSpaceDN w:val="0"/>
        <w:adjustRightInd w:val="0"/>
        <w:spacing w:after="0" w:line="240" w:lineRule="auto"/>
        <w:jc w:val="both"/>
        <w:rPr>
          <w:rFonts w:asciiTheme="majorBidi" w:hAnsiTheme="majorBidi" w:cstheme="majorBidi"/>
          <w:b/>
          <w:bCs/>
          <w:color w:val="000000"/>
          <w:sz w:val="28"/>
          <w:szCs w:val="28"/>
          <w:lang w:val="en-US"/>
        </w:rPr>
      </w:pPr>
      <w:r w:rsidRPr="00826460">
        <w:rPr>
          <w:rFonts w:asciiTheme="majorBidi" w:hAnsiTheme="majorBidi" w:cstheme="majorBidi"/>
          <w:b/>
          <w:bCs/>
          <w:color w:val="000000"/>
          <w:sz w:val="28"/>
          <w:szCs w:val="28"/>
          <w:lang w:val="en-US"/>
        </w:rPr>
        <w:t>Abstract</w:t>
      </w:r>
      <w:r w:rsidRPr="00826460">
        <w:rPr>
          <w:rFonts w:asciiTheme="majorBidi" w:hAnsiTheme="majorBidi" w:cstheme="majorBidi"/>
          <w:b/>
          <w:bCs/>
          <w:color w:val="000000"/>
          <w:sz w:val="28"/>
          <w:szCs w:val="28"/>
          <w:rtl/>
        </w:rPr>
        <w:t>:</w:t>
      </w:r>
      <w:r w:rsidR="00402C99" w:rsidRPr="00826460">
        <w:rPr>
          <w:rFonts w:asciiTheme="majorBidi" w:hAnsiTheme="majorBidi" w:cstheme="majorBidi"/>
          <w:b/>
          <w:bCs/>
          <w:color w:val="000000"/>
          <w:sz w:val="28"/>
          <w:szCs w:val="28"/>
          <w:lang w:val="en-US"/>
        </w:rPr>
        <w:t xml:space="preserve">  </w:t>
      </w:r>
    </w:p>
    <w:p w:rsidR="003A0099" w:rsidRPr="00826460" w:rsidRDefault="005166BB" w:rsidP="005166BB">
      <w:pPr>
        <w:autoSpaceDE w:val="0"/>
        <w:autoSpaceDN w:val="0"/>
        <w:adjustRightInd w:val="0"/>
        <w:spacing w:after="0" w:line="240" w:lineRule="auto"/>
        <w:jc w:val="both"/>
        <w:rPr>
          <w:rFonts w:asciiTheme="majorBidi" w:eastAsia="ArialMT" w:hAnsiTheme="majorBidi" w:cstheme="majorBidi"/>
          <w:color w:val="000000"/>
          <w:sz w:val="28"/>
          <w:szCs w:val="28"/>
          <w:lang w:val="en-US"/>
        </w:rPr>
      </w:pPr>
      <w:r>
        <w:rPr>
          <w:rFonts w:asciiTheme="majorBidi" w:eastAsia="ArialMT" w:hAnsiTheme="majorBidi" w:cstheme="majorBidi"/>
          <w:color w:val="000000"/>
          <w:sz w:val="28"/>
          <w:szCs w:val="28"/>
          <w:lang w:val="en-US"/>
        </w:rPr>
        <w:t xml:space="preserve">  </w:t>
      </w:r>
      <w:r w:rsidR="003A0099" w:rsidRPr="00826460">
        <w:rPr>
          <w:rFonts w:asciiTheme="majorBidi" w:eastAsia="ArialMT" w:hAnsiTheme="majorBidi" w:cstheme="majorBidi"/>
          <w:color w:val="000000"/>
          <w:sz w:val="28"/>
          <w:szCs w:val="28"/>
          <w:lang w:val="en-US"/>
        </w:rPr>
        <w:t>It is understood that the act of philosophizing is an intellectual process that continues to manifest itself only through language, and that thought is by force and becomes an act only if the dress of the language is worn to merit the honour of existence. It is also known that the language text is a composition of various construction and manufacturing processes, whereby certain intellectual contents, forms and natural expressions are interwoven and interwoven, so as to generate a single texture of speech "or to build a constructed edifice.</w:t>
      </w:r>
    </w:p>
    <w:p w:rsidR="003A0099" w:rsidRPr="00826460" w:rsidRDefault="003A0099" w:rsidP="00D377C6">
      <w:pPr>
        <w:autoSpaceDE w:val="0"/>
        <w:autoSpaceDN w:val="0"/>
        <w:adjustRightInd w:val="0"/>
        <w:spacing w:after="0" w:line="240" w:lineRule="auto"/>
        <w:ind w:left="-1"/>
        <w:jc w:val="both"/>
        <w:rPr>
          <w:rFonts w:asciiTheme="majorBidi" w:eastAsia="ArialMT" w:hAnsiTheme="majorBidi" w:cstheme="majorBidi"/>
          <w:color w:val="000000"/>
          <w:sz w:val="28"/>
          <w:szCs w:val="28"/>
          <w:lang w:val="en-US"/>
        </w:rPr>
      </w:pPr>
      <w:r w:rsidRPr="00826460">
        <w:rPr>
          <w:rFonts w:asciiTheme="majorBidi" w:eastAsia="ArialMT" w:hAnsiTheme="majorBidi" w:cstheme="majorBidi"/>
          <w:color w:val="000000"/>
          <w:sz w:val="28"/>
          <w:szCs w:val="28"/>
          <w:lang w:val="en-US"/>
        </w:rPr>
        <w:t>Since a text composed in a particular natural tongue is different from a text in another natural tongue, owing to the different eloquence of the forms and methods of methods and expressions in different human languages, philosophical discourse has to follow the text of this particular natural tongue and be written in its own forms, not in the text of others, even if it is translated into it.</w:t>
      </w:r>
    </w:p>
    <w:p w:rsidR="003A0099" w:rsidRPr="00826460" w:rsidRDefault="005166BB" w:rsidP="00D377C6">
      <w:pPr>
        <w:autoSpaceDE w:val="0"/>
        <w:autoSpaceDN w:val="0"/>
        <w:adjustRightInd w:val="0"/>
        <w:spacing w:after="0" w:line="240" w:lineRule="auto"/>
        <w:ind w:left="-1"/>
        <w:jc w:val="both"/>
        <w:rPr>
          <w:rFonts w:asciiTheme="majorBidi" w:eastAsia="ArialMT" w:hAnsiTheme="majorBidi" w:cstheme="majorBidi"/>
          <w:color w:val="000000"/>
          <w:sz w:val="28"/>
          <w:szCs w:val="28"/>
          <w:lang w:val="en-US"/>
        </w:rPr>
      </w:pPr>
      <w:r>
        <w:rPr>
          <w:rFonts w:asciiTheme="majorBidi" w:eastAsia="ArialMT" w:hAnsiTheme="majorBidi" w:cstheme="majorBidi"/>
          <w:color w:val="000000"/>
          <w:sz w:val="28"/>
          <w:szCs w:val="28"/>
          <w:lang w:val="en-US"/>
        </w:rPr>
        <w:t xml:space="preserve">  </w:t>
      </w:r>
      <w:r w:rsidR="003A0099" w:rsidRPr="00826460">
        <w:rPr>
          <w:rFonts w:asciiTheme="majorBidi" w:eastAsia="ArialMT" w:hAnsiTheme="majorBidi" w:cstheme="majorBidi"/>
          <w:color w:val="000000"/>
          <w:sz w:val="28"/>
          <w:szCs w:val="28"/>
          <w:lang w:val="en-US"/>
        </w:rPr>
        <w:t>Philosophy, first and foremost, is a speech in which it is necessary to take into account the position of the recipient in the understanding. The letter has specific origins. Unless it is restored to the author based on these origins, it cannot be challenged to be creative, even if the philosopher has all the material, social, historical, cultural and political conditions</w:t>
      </w:r>
    </w:p>
    <w:p w:rsidR="00A27053" w:rsidRPr="00826460" w:rsidRDefault="00826460" w:rsidP="005166BB">
      <w:pPr>
        <w:autoSpaceDE w:val="0"/>
        <w:autoSpaceDN w:val="0"/>
        <w:adjustRightInd w:val="0"/>
        <w:spacing w:after="0" w:line="240" w:lineRule="auto"/>
        <w:jc w:val="both"/>
        <w:rPr>
          <w:rFonts w:asciiTheme="majorBidi" w:eastAsia="ArialMT" w:hAnsiTheme="majorBidi" w:cstheme="majorBidi"/>
          <w:color w:val="000000"/>
          <w:sz w:val="28"/>
          <w:szCs w:val="28"/>
          <w:lang w:val="en-US"/>
        </w:rPr>
      </w:pPr>
      <w:r w:rsidRPr="00826460">
        <w:rPr>
          <w:rFonts w:asciiTheme="majorBidi" w:hAnsiTheme="majorBidi" w:cstheme="majorBidi"/>
          <w:b/>
          <w:bCs/>
          <w:color w:val="000000"/>
          <w:sz w:val="28"/>
          <w:szCs w:val="28"/>
          <w:lang w:val="en-US"/>
        </w:rPr>
        <w:t>Keywords</w:t>
      </w:r>
      <w:r w:rsidRPr="00826460">
        <w:rPr>
          <w:rFonts w:asciiTheme="majorBidi" w:hAnsiTheme="majorBidi" w:cstheme="majorBidi"/>
          <w:color w:val="000000"/>
          <w:sz w:val="28"/>
          <w:szCs w:val="28"/>
          <w:lang w:val="en-US"/>
        </w:rPr>
        <w:t xml:space="preserve">: </w:t>
      </w:r>
      <w:r w:rsidR="003A0099" w:rsidRPr="00826460">
        <w:rPr>
          <w:rFonts w:asciiTheme="majorBidi" w:eastAsia="ArialMT" w:hAnsiTheme="majorBidi" w:cstheme="majorBidi"/>
          <w:color w:val="000000"/>
          <w:sz w:val="28"/>
          <w:szCs w:val="28"/>
          <w:lang w:val="en-US"/>
        </w:rPr>
        <w:t>speech, natural language, artificial language, logic, philosophical language</w:t>
      </w:r>
    </w:p>
    <w:p w:rsidR="00A27053" w:rsidRPr="00826460" w:rsidRDefault="00A27053" w:rsidP="00D377C6">
      <w:pPr>
        <w:autoSpaceDE w:val="0"/>
        <w:autoSpaceDN w:val="0"/>
        <w:bidi/>
        <w:adjustRightInd w:val="0"/>
        <w:spacing w:after="0" w:line="240" w:lineRule="auto"/>
        <w:jc w:val="both"/>
        <w:rPr>
          <w:rFonts w:asciiTheme="majorBidi" w:hAnsiTheme="majorBidi" w:cstheme="majorBidi"/>
          <w:b/>
          <w:bCs/>
          <w:color w:val="000000"/>
          <w:sz w:val="28"/>
          <w:szCs w:val="28"/>
          <w:rtl/>
          <w:lang w:bidi="ar-DZ"/>
        </w:rPr>
      </w:pPr>
    </w:p>
    <w:p w:rsidR="00A27053" w:rsidRPr="00402C99" w:rsidRDefault="00134E25" w:rsidP="00826460">
      <w:pPr>
        <w:autoSpaceDE w:val="0"/>
        <w:autoSpaceDN w:val="0"/>
        <w:bidi/>
        <w:adjustRightInd w:val="0"/>
        <w:spacing w:after="0" w:line="240" w:lineRule="auto"/>
        <w:ind w:left="-2"/>
        <w:jc w:val="both"/>
        <w:rPr>
          <w:rFonts w:ascii="Simplified Arabic" w:hAnsi="Simplified Arabic" w:cs="Simplified Arabic"/>
          <w:b/>
          <w:bCs/>
          <w:color w:val="000000"/>
          <w:sz w:val="28"/>
          <w:szCs w:val="28"/>
          <w:rtl/>
          <w:lang w:bidi="ar-DZ"/>
        </w:rPr>
      </w:pPr>
      <w:r>
        <w:rPr>
          <w:rFonts w:ascii="Simplified Arabic" w:hAnsi="Simplified Arabic" w:cs="Simplified Arabic"/>
          <w:b/>
          <w:bCs/>
          <w:color w:val="000000"/>
          <w:sz w:val="28"/>
          <w:szCs w:val="28"/>
          <w:rtl/>
        </w:rPr>
        <w:t>مقدمة</w:t>
      </w:r>
      <w:r w:rsidR="00A27053" w:rsidRPr="00402C99">
        <w:rPr>
          <w:rFonts w:ascii="Simplified Arabic" w:hAnsi="Simplified Arabic" w:cs="Simplified Arabic"/>
          <w:b/>
          <w:bCs/>
          <w:color w:val="000000"/>
          <w:sz w:val="28"/>
          <w:szCs w:val="28"/>
          <w:rtl/>
        </w:rPr>
        <w:t>:</w:t>
      </w:r>
    </w:p>
    <w:p w:rsidR="003A0099" w:rsidRPr="00402C99" w:rsidRDefault="00826460"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bookmarkStart w:id="1" w:name="_Hlk73032151"/>
      <w:bookmarkStart w:id="2" w:name="_Hlk73031188"/>
      <w:r>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من المعلوم أنّ اللغة وعاء التجارب، ودليل النشاط الإنساني ومظهر السلوك اليومي الذي تقوم به الجماعة. فاللغة هي أساس كل أنواع الأنشطة الثقافية، فهي أقرب وأنجح وسيلة لاستقصاء الملامح الخاصة لأي مجتمع كان. ففي كلّ مجتمع تلعب اللغة دوراً بارزاً باعتبارها أقوى الروابط بين شرائح المجتمع الواحد، وهي في الوقت ذاته رمز حياتهم المشتركة وضمان لها. بالإضافة إلى ذلك تُعدّ اللغة رباطٌ يصل الأجيال المتعاقبة فيما بينها، إذ هي وسيلة الاستمرار الشعبي للأمة الواحدة عبر القرون.</w:t>
      </w:r>
    </w:p>
    <w:p w:rsidR="000E60D2" w:rsidRDefault="00826460"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3A0099" w:rsidRPr="00402C99">
        <w:rPr>
          <w:rFonts w:ascii="Simplified Arabic" w:eastAsia="ArialMT" w:hAnsi="Simplified Arabic" w:cs="Simplified Arabic"/>
          <w:color w:val="000000"/>
          <w:sz w:val="28"/>
          <w:szCs w:val="28"/>
          <w:rtl/>
          <w:lang w:bidi="ar-LB"/>
        </w:rPr>
        <w:t xml:space="preserve">كلّ المخلوقات الحية التي عرفها الإنسان لديها نوع من نظام تواصلي أو قُلْ طريقة علامتيّة (من علامة) تمكنها من التواصل مع أفراد فصيلتها، وكذلك الشأن مع أفراد الفصائل </w:t>
      </w:r>
      <w:r w:rsidR="000E60D2">
        <w:rPr>
          <w:rFonts w:ascii="Simplified Arabic" w:eastAsia="ArialMT" w:hAnsi="Simplified Arabic" w:cs="Simplified Arabic"/>
          <w:color w:val="000000"/>
          <w:sz w:val="28"/>
          <w:szCs w:val="28"/>
          <w:rtl/>
          <w:lang w:bidi="ar-LB"/>
        </w:rPr>
        <w:t>الأخر</w:t>
      </w:r>
      <w:r w:rsidR="000E60D2">
        <w:rPr>
          <w:rFonts w:ascii="Simplified Arabic" w:eastAsia="ArialMT" w:hAnsi="Simplified Arabic" w:cs="Simplified Arabic" w:hint="cs"/>
          <w:color w:val="000000"/>
          <w:sz w:val="28"/>
          <w:szCs w:val="28"/>
          <w:rtl/>
          <w:lang w:bidi="ar-LB"/>
        </w:rPr>
        <w:t>ى</w:t>
      </w:r>
      <w:bookmarkEnd w:id="1"/>
      <w:bookmarkEnd w:id="2"/>
      <w:r w:rsidR="00A73078" w:rsidRPr="00402C99">
        <w:rPr>
          <w:rFonts w:ascii="Simplified Arabic" w:eastAsia="ArialMT" w:hAnsi="Simplified Arabic" w:cs="Simplified Arabic"/>
          <w:color w:val="000000"/>
          <w:sz w:val="28"/>
          <w:szCs w:val="28"/>
          <w:vertAlign w:val="superscript"/>
          <w:rtl/>
          <w:lang w:bidi="ar-LB"/>
        </w:rPr>
        <w:footnoteReference w:id="2"/>
      </w:r>
      <w:r w:rsidR="000E60D2">
        <w:rPr>
          <w:rFonts w:ascii="Simplified Arabic" w:eastAsia="ArialMT" w:hAnsi="Simplified Arabic" w:cs="Simplified Arabic" w:hint="cs"/>
          <w:color w:val="000000"/>
          <w:sz w:val="28"/>
          <w:szCs w:val="28"/>
          <w:rtl/>
          <w:lang w:bidi="ar-LB"/>
        </w:rPr>
        <w:t>.</w:t>
      </w:r>
      <w:r w:rsidR="00A73078" w:rsidRPr="00402C99">
        <w:rPr>
          <w:rFonts w:ascii="Simplified Arabic" w:eastAsia="ArialMT" w:hAnsi="Simplified Arabic" w:cs="Simplified Arabic"/>
          <w:color w:val="000000"/>
          <w:sz w:val="28"/>
          <w:szCs w:val="28"/>
          <w:rtl/>
          <w:lang w:bidi="ar-LB"/>
        </w:rPr>
        <w:t xml:space="preserve"> </w:t>
      </w:r>
    </w:p>
    <w:p w:rsidR="00BC65FD" w:rsidRDefault="000E60D2" w:rsidP="006E65CE">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إلا أنّ اللغة البشرية مختلفة تمام الاختلاف عن كلّ الأنظمة العلامتية الأخرى، فالحيوان يمكن أن يعبر عن رغباته إلا أنّه لا يمكنه أن يصفها أو يسمّيها</w:t>
      </w:r>
      <w:r w:rsidR="00A73078" w:rsidRPr="00402C99">
        <w:rPr>
          <w:rFonts w:ascii="Simplified Arabic" w:eastAsia="ArialMT" w:hAnsi="Simplified Arabic" w:cs="Simplified Arabic"/>
          <w:color w:val="000000"/>
          <w:sz w:val="28"/>
          <w:szCs w:val="28"/>
          <w:vertAlign w:val="superscript"/>
          <w:rtl/>
          <w:lang w:bidi="ar-LB"/>
        </w:rPr>
        <w:footnoteReference w:id="3"/>
      </w:r>
      <w:r w:rsidR="006E1587">
        <w:rPr>
          <w:rFonts w:ascii="Simplified Arabic" w:eastAsia="ArialMT" w:hAnsi="Simplified Arabic" w:cs="Simplified Arabic" w:hint="cs"/>
          <w:color w:val="000000"/>
          <w:sz w:val="28"/>
          <w:szCs w:val="28"/>
          <w:rtl/>
          <w:lang w:bidi="ar-LB"/>
        </w:rPr>
        <w:t>،</w:t>
      </w:r>
      <w:r w:rsidR="00A73078" w:rsidRPr="00402C99">
        <w:rPr>
          <w:rFonts w:ascii="Simplified Arabic" w:eastAsia="ArialMT" w:hAnsi="Simplified Arabic" w:cs="Simplified Arabic"/>
          <w:color w:val="000000"/>
          <w:sz w:val="28"/>
          <w:szCs w:val="28"/>
          <w:rtl/>
          <w:lang w:bidi="ar-LB"/>
        </w:rPr>
        <w:t xml:space="preserve"> أما عند الإنسان فمن دون اللغة كان من الصعب </w:t>
      </w:r>
      <w:r w:rsidR="00A73078" w:rsidRPr="00402C99">
        <w:rPr>
          <w:rFonts w:ascii="Simplified Arabic" w:eastAsia="ArialMT" w:hAnsi="Simplified Arabic" w:cs="Simplified Arabic"/>
          <w:color w:val="000000"/>
          <w:sz w:val="28"/>
          <w:szCs w:val="28"/>
          <w:rtl/>
          <w:lang w:bidi="ar-LB"/>
        </w:rPr>
        <w:lastRenderedPageBreak/>
        <w:t>عليه أن ينشئ عالمه الإنساني المتعارف عليه.</w:t>
      </w:r>
      <w:r w:rsidR="00826460">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فاللغة عند الإنسان هي وسيلة تُعيد تنظيم المتواصل من التجارب المحسوسة وتأويلاتها المختلفة، فهي عبارة عن عملية تأطير لأفكار ترتّب العالم على نحو يتلاءم مع مقولات الذهن والوجدان المتجسد في اللسان</w:t>
      </w:r>
      <w:r w:rsidR="00A73078" w:rsidRPr="00402C99">
        <w:rPr>
          <w:rFonts w:ascii="Simplified Arabic" w:eastAsia="ArialMT" w:hAnsi="Simplified Arabic" w:cs="Simplified Arabic"/>
          <w:color w:val="000000"/>
          <w:sz w:val="28"/>
          <w:szCs w:val="28"/>
          <w:vertAlign w:val="superscript"/>
          <w:rtl/>
          <w:lang w:bidi="ar-LB"/>
        </w:rPr>
        <w:footnoteReference w:id="4"/>
      </w:r>
      <w:r>
        <w:rPr>
          <w:rFonts w:ascii="Simplified Arabic" w:eastAsia="ArialMT" w:hAnsi="Simplified Arabic" w:cs="Simplified Arabic" w:hint="cs"/>
          <w:color w:val="000000"/>
          <w:sz w:val="28"/>
          <w:szCs w:val="28"/>
          <w:rtl/>
          <w:lang w:bidi="ar-LB"/>
        </w:rPr>
        <w:t>.</w:t>
      </w:r>
      <w:r w:rsidR="00A73078" w:rsidRPr="00402C99">
        <w:rPr>
          <w:rFonts w:ascii="Simplified Arabic" w:eastAsia="ArialMT" w:hAnsi="Simplified Arabic" w:cs="Simplified Arabic"/>
          <w:color w:val="000000"/>
          <w:sz w:val="28"/>
          <w:szCs w:val="28"/>
          <w:rtl/>
          <w:lang w:bidi="ar-LB"/>
        </w:rPr>
        <w:t xml:space="preserve"> </w:t>
      </w:r>
    </w:p>
    <w:p w:rsidR="00A73078" w:rsidRPr="00402C99" w:rsidRDefault="00BC65FD" w:rsidP="00BC65FD">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فالتصورات الذهنية ومحصلات الأفكار الناتجة عن العقل والفهم، والوجدانيات المعنوية المنبعثة من النفس، لا يمكنها جميعاً أن تتحقق عند صاحبها ومنه إلى غيره في الفراغ، بل لا بد لها من أن تتجسد وتتشكل في علامات ورموز بنزولها وانصبابها في الألفاظ المختلفة والصيغ المتنوعة، بحيث تشكّل في جملتها بناءً لغوياً له خصائص تطبعه</w:t>
      </w:r>
      <w:r w:rsidR="000E60D2">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وسيرورة تكونه وتحوله في أبعاده التاريخية والنسقية الخاصة ببنيته الدخيلة،</w:t>
      </w:r>
      <w:r w:rsidR="00A73078" w:rsidRPr="00402C99">
        <w:rPr>
          <w:rFonts w:ascii="Simplified Arabic" w:eastAsia="ArialMT" w:hAnsi="Simplified Arabic" w:cs="Simplified Arabic"/>
          <w:color w:val="000000"/>
          <w:sz w:val="28"/>
          <w:szCs w:val="28"/>
          <w:vertAlign w:val="superscript"/>
          <w:rtl/>
          <w:lang w:bidi="ar-LB"/>
        </w:rPr>
        <w:footnoteReference w:id="5"/>
      </w:r>
      <w:r w:rsidR="005166BB">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فكل "تحقيق فكري-لغوي لا يأتي نسخة مباشرة عن واقع مُعين، إنما يبلور نظرة خاصة إلى هذا الواقع منبثقة عن قالب بنيوي معين، من هنا تلعب الألفاظ والأسماء دورها في تصنيف الأشياء وترتيب الكائنات"</w:t>
      </w:r>
      <w:r w:rsidR="00A73078" w:rsidRPr="00402C99">
        <w:rPr>
          <w:rFonts w:ascii="Simplified Arabic" w:eastAsia="ArialMT" w:hAnsi="Simplified Arabic" w:cs="Simplified Arabic"/>
          <w:color w:val="000000"/>
          <w:sz w:val="28"/>
          <w:szCs w:val="28"/>
          <w:vertAlign w:val="superscript"/>
          <w:rtl/>
          <w:lang w:bidi="ar-LB"/>
        </w:rPr>
        <w:footnoteReference w:id="6"/>
      </w:r>
      <w:r w:rsidR="000E60D2">
        <w:rPr>
          <w:rFonts w:ascii="Simplified Arabic" w:eastAsia="ArialMT" w:hAnsi="Simplified Arabic" w:cs="Simplified Arabic" w:hint="cs"/>
          <w:color w:val="000000"/>
          <w:sz w:val="28"/>
          <w:szCs w:val="28"/>
          <w:rtl/>
          <w:lang w:bidi="ar-LB"/>
        </w:rPr>
        <w:t>.</w:t>
      </w:r>
    </w:p>
    <w:p w:rsidR="00A73078" w:rsidRPr="00402C99" w:rsidRDefault="005166BB"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فاللغة ليست أداة للفكر وحسب، بل هي أيضاً القالب الذي يتشكل فيه الفكر، حيث أنّ كلّ جماعة بشرية كائناً من كانت تفكر داخل اللغة وبواسطتها وتتواصل عن طريقها. فاللغة هي المنظم لتجربتها، وهي بهذا تصنع عالمها وواقعها الاجتماعي والثقافي والعلمي والسياسي، فهناك علاقة تبادلية قائمة أصلاً بين اللغة والفكر بحيث تعبّر هذه اللغة بدقائقها وتنويعاتها عن تطلعات هذا الفكر ولطائفه. ولذا يبقى التأثير والتفاعلات متبادلة بين اللغة والثقافة الإنسانية على الصعيدين النظري والعملي معا، فلكلّ جماعة إنسانية لها نمط تفكيرها الخاص، وبالتالي طريقة تعبيرها تُرفق بمنطق خاص في فهم الأمور وتبليغها في تراكيب وعبارات توجبها اللغة</w:t>
      </w:r>
      <w:r w:rsidR="00A73078" w:rsidRPr="00402C99">
        <w:rPr>
          <w:rFonts w:ascii="Simplified Arabic" w:eastAsia="ArialMT" w:hAnsi="Simplified Arabic" w:cs="Simplified Arabic"/>
          <w:color w:val="000000"/>
          <w:sz w:val="28"/>
          <w:szCs w:val="28"/>
          <w:vertAlign w:val="superscript"/>
          <w:rtl/>
          <w:lang w:bidi="ar-LB"/>
        </w:rPr>
        <w:footnoteReference w:id="7"/>
      </w:r>
      <w:r w:rsidR="006E65CE">
        <w:rPr>
          <w:rFonts w:ascii="Simplified Arabic" w:eastAsia="ArialMT" w:hAnsi="Simplified Arabic" w:cs="Simplified Arabic" w:hint="cs"/>
          <w:color w:val="000000"/>
          <w:sz w:val="28"/>
          <w:szCs w:val="28"/>
          <w:rtl/>
        </w:rPr>
        <w:t>.</w:t>
      </w:r>
    </w:p>
    <w:p w:rsidR="00A73078" w:rsidRPr="00402C99" w:rsidRDefault="005166BB" w:rsidP="005166BB">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rPr>
        <w:t xml:space="preserve">   </w:t>
      </w:r>
      <w:r w:rsidR="00A73078" w:rsidRPr="00402C99">
        <w:rPr>
          <w:rFonts w:ascii="Simplified Arabic" w:eastAsia="ArialMT" w:hAnsi="Simplified Arabic" w:cs="Simplified Arabic"/>
          <w:color w:val="000000"/>
          <w:sz w:val="28"/>
          <w:szCs w:val="28"/>
          <w:rtl/>
          <w:lang w:bidi="ar-LB"/>
        </w:rPr>
        <w:t>فلا سبيل إذن إلى العلم بما جال في الفكر ما لم يوجد له اللفظ «الذي يطابق المراد وما من مسألة تثبت علاقتها بالشكل اللفظي، إلا وتبين عند التحقيق أنّها تنطوي على معان عقلية</w:t>
      </w:r>
      <w:r w:rsidR="006E65CE">
        <w:rPr>
          <w:rFonts w:ascii="Simplified Arabic" w:eastAsia="ArialMT" w:hAnsi="Simplified Arabic" w:cs="Simplified Arabic"/>
          <w:color w:val="000000"/>
          <w:sz w:val="28"/>
          <w:szCs w:val="28"/>
          <w:rtl/>
          <w:lang w:bidi="ar-LB"/>
        </w:rPr>
        <w:t xml:space="preserve"> والعكس بالعكس</w:t>
      </w:r>
      <w:r w:rsidR="00A73078" w:rsidRPr="00402C99">
        <w:rPr>
          <w:rFonts w:ascii="Simplified Arabic" w:eastAsia="ArialMT" w:hAnsi="Simplified Arabic" w:cs="Simplified Arabic"/>
          <w:color w:val="000000"/>
          <w:sz w:val="28"/>
          <w:szCs w:val="28"/>
          <w:rtl/>
          <w:lang w:bidi="ar-LB"/>
        </w:rPr>
        <w:t>"</w:t>
      </w:r>
      <w:r w:rsidR="00A73078" w:rsidRPr="00402C99">
        <w:rPr>
          <w:rFonts w:ascii="Simplified Arabic" w:eastAsia="ArialMT" w:hAnsi="Simplified Arabic" w:cs="Simplified Arabic"/>
          <w:color w:val="000000"/>
          <w:sz w:val="28"/>
          <w:szCs w:val="28"/>
          <w:vertAlign w:val="superscript"/>
          <w:rtl/>
          <w:lang w:bidi="ar-LB"/>
        </w:rPr>
        <w:footnoteReference w:id="8"/>
      </w:r>
      <w:r w:rsidR="00A73078" w:rsidRPr="00402C99">
        <w:rPr>
          <w:rFonts w:ascii="Simplified Arabic" w:eastAsia="ArialMT" w:hAnsi="Simplified Arabic" w:cs="Simplified Arabic"/>
          <w:color w:val="000000"/>
          <w:sz w:val="28"/>
          <w:szCs w:val="28"/>
          <w:rtl/>
          <w:lang w:bidi="ar-LB"/>
        </w:rPr>
        <w:t xml:space="preserve"> ذلك لأن "حقائق المعاني لا تثبت إلا بحقائق الألفاظ فإذا تحرّفت المعاني فكذلك تتزيف الألفاظ، فالألفاظ والمعاني متلاحمة متواشجة متجانسة»</w:t>
      </w:r>
      <w:r w:rsidR="00A73078" w:rsidRPr="00402C99">
        <w:rPr>
          <w:rFonts w:ascii="Simplified Arabic" w:eastAsia="ArialMT" w:hAnsi="Simplified Arabic" w:cs="Simplified Arabic"/>
          <w:color w:val="000000"/>
          <w:sz w:val="28"/>
          <w:szCs w:val="28"/>
          <w:vertAlign w:val="superscript"/>
          <w:rtl/>
          <w:lang w:bidi="ar-LB"/>
        </w:rPr>
        <w:footnoteReference w:id="9"/>
      </w: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فالمعاني ميدانها العقل الإنساني والمجال المعرفي بكل حيثياته، أما الألفاظ والمباني فمجالها بنية اللغة تركيباً وصيغاً، قواعد وبلاغة، وأصوات ودلاليات، فالمعنى ينصاغ باللغة فيتشكل بها فتضفي عليه خصوصياتها التركيبية، وخلفياتها الدلالية والدالية؛ واللغة تتحدد بالمعنى الذي يؤثر فيها تبعاً للفكر الذي أنشأ المعنى وللذهن الذي أنتجه.</w:t>
      </w:r>
    </w:p>
    <w:p w:rsidR="00A73078" w:rsidRPr="00402C99" w:rsidRDefault="005166BB" w:rsidP="00655DD2">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lastRenderedPageBreak/>
        <w:t xml:space="preserve">  </w:t>
      </w:r>
      <w:r w:rsidR="00A73078" w:rsidRPr="00402C99">
        <w:rPr>
          <w:rFonts w:ascii="Simplified Arabic" w:eastAsia="ArialMT" w:hAnsi="Simplified Arabic" w:cs="Simplified Arabic"/>
          <w:color w:val="000000"/>
          <w:sz w:val="28"/>
          <w:szCs w:val="28"/>
          <w:rtl/>
          <w:lang w:bidi="ar-LB"/>
        </w:rPr>
        <w:t xml:space="preserve">وعليه فلا يمكن النظر إلى العلاقة بين الفكر واللغة على أنها علاقة محتوى بحاوٍ أو سلعة بعلبة </w:t>
      </w:r>
      <w:r w:rsidR="00A73078" w:rsidRPr="00402C99">
        <w:rPr>
          <w:rFonts w:ascii="Simplified Arabic" w:eastAsia="ArialMT" w:hAnsi="Simplified Arabic" w:cs="Simplified Arabic"/>
          <w:color w:val="000000"/>
          <w:sz w:val="28"/>
          <w:szCs w:val="28"/>
          <w:lang w:val="en-US" w:bidi="ar-LB"/>
        </w:rPr>
        <w:t>(</w:t>
      </w:r>
      <w:r w:rsidR="00A73078" w:rsidRPr="005166BB">
        <w:rPr>
          <w:rFonts w:asciiTheme="majorBidi" w:eastAsia="ArialMT" w:hAnsiTheme="majorBidi" w:cstheme="majorBidi"/>
          <w:color w:val="000000"/>
          <w:sz w:val="24"/>
          <w:szCs w:val="24"/>
          <w:lang w:val="en-US" w:bidi="ar-LB"/>
        </w:rPr>
        <w:t>EMBALLAGE-MARCHANDISE</w:t>
      </w:r>
      <w:r w:rsidR="00A73078" w:rsidRPr="00402C99">
        <w:rPr>
          <w:rFonts w:ascii="Simplified Arabic" w:eastAsia="ArialMT" w:hAnsi="Simplified Arabic" w:cs="Simplified Arabic"/>
          <w:color w:val="000000"/>
          <w:sz w:val="28"/>
          <w:szCs w:val="28"/>
          <w:lang w:val="en-US" w:bidi="ar-LB"/>
        </w:rPr>
        <w:t>)</w:t>
      </w:r>
      <w:r w:rsidR="00A73078" w:rsidRPr="00402C99">
        <w:rPr>
          <w:rFonts w:ascii="Simplified Arabic" w:eastAsia="ArialMT" w:hAnsi="Simplified Arabic" w:cs="Simplified Arabic"/>
          <w:color w:val="000000"/>
          <w:sz w:val="28"/>
          <w:szCs w:val="28"/>
          <w:rtl/>
          <w:lang w:bidi="ar-LB"/>
        </w:rPr>
        <w:t xml:space="preserve"> فلا يمكن الاستغناء عن اللغة للاعتبارات التي ذكرناها.</w:t>
      </w:r>
      <w:r w:rsidR="00655DD2">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وقد حرصت الفلسفة أكثر من غيرها على وحدة اللغة والفكر وتداخلهما ذلك أنّ هذا التداخل والتشاكل يجعل منهما منظومة توليدية ينتج عنها أشكالاً وأساليب وأفكار جمّة</w:t>
      </w:r>
      <w:r w:rsidR="00A73078" w:rsidRPr="00402C99">
        <w:rPr>
          <w:rFonts w:ascii="Simplified Arabic" w:eastAsia="ArialMT" w:hAnsi="Simplified Arabic" w:cs="Simplified Arabic"/>
          <w:color w:val="000000"/>
          <w:sz w:val="28"/>
          <w:szCs w:val="28"/>
          <w:vertAlign w:val="superscript"/>
          <w:rtl/>
          <w:lang w:bidi="ar-LB"/>
        </w:rPr>
        <w:footnoteReference w:id="10"/>
      </w:r>
      <w:r w:rsidR="00EF51D6">
        <w:rPr>
          <w:rFonts w:ascii="Simplified Arabic" w:eastAsia="ArialMT" w:hAnsi="Simplified Arabic" w:cs="Simplified Arabic" w:hint="cs"/>
          <w:color w:val="000000"/>
          <w:sz w:val="28"/>
          <w:szCs w:val="28"/>
          <w:rtl/>
          <w:lang w:bidi="ar-LB"/>
        </w:rPr>
        <w:t>.</w:t>
      </w:r>
    </w:p>
    <w:p w:rsidR="00A73078" w:rsidRPr="00402C99" w:rsidRDefault="005166BB"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من المعلوم أنّ اللسانيات حددت عدّة وظائف للكلام، ويكاد أن يجمع علماء اللسان على أنّ للكلام وظيفتين أساسيتين: التواصل أو قل التبليغ والتعبير</w:t>
      </w:r>
      <w:r w:rsidR="00A73078" w:rsidRPr="00402C99">
        <w:rPr>
          <w:rFonts w:ascii="Simplified Arabic" w:eastAsia="ArialMT" w:hAnsi="Simplified Arabic" w:cs="Simplified Arabic"/>
          <w:color w:val="000000"/>
          <w:sz w:val="28"/>
          <w:szCs w:val="28"/>
          <w:vertAlign w:val="superscript"/>
          <w:rtl/>
          <w:lang w:bidi="ar-LB"/>
        </w:rPr>
        <w:footnoteReference w:id="11"/>
      </w:r>
      <w:r w:rsidR="00EF51D6">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فالتبليغ عند اللسانيين وهو الوظيفة الأولى ومعناها أنّ اللغة هي قبل كل شيء أداة للمتخاطبين حتى يتصل بعضهم ببعض للتعامل والتعاون في حياتهم اليومية.</w:t>
      </w:r>
    </w:p>
    <w:p w:rsidR="00A73078" w:rsidRPr="00402C99" w:rsidRDefault="005166BB" w:rsidP="005166BB">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أما التعبير، فإنّ الإنسان كثيراً ما يستعمل كلامه للإعراب عما يجري في نفسه من أفكار وعواطف من دون أن يُبالي بوجود غيره أو بما ينتج عن ذلك من ردود أفعال مختلفة. هكذا يجد الإنسان لنفسه وسيلة لتأكيد شخصيته وإثباتها دون أن تكون له أي رغبة في التبليغ.</w:t>
      </w: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 xml:space="preserve">وتقتضي مسلمة التعبير أنّ اللغة تعبير عن الفكر بقصد إيصاله إلى الغير أو قل تبليغه إلى الغير، والفكر هو جملة من الأفعال الذهنية أو النفسية مثل أفعال الاعتقاد والظن والرجاء، والشك وغيرها، كما أنّه جملة من المضامين الفكرية </w:t>
      </w:r>
      <w:r w:rsidR="00EF51D6">
        <w:rPr>
          <w:rFonts w:ascii="Simplified Arabic" w:eastAsia="ArialMT" w:hAnsi="Simplified Arabic" w:cs="Simplified Arabic"/>
          <w:color w:val="000000"/>
          <w:sz w:val="28"/>
          <w:szCs w:val="28"/>
          <w:rtl/>
          <w:lang w:bidi="ar-LB"/>
        </w:rPr>
        <w:t xml:space="preserve">المستفادة لغة من الجمل المفيدة </w:t>
      </w:r>
      <w:r w:rsidR="00EF51D6">
        <w:rPr>
          <w:rFonts w:ascii="Simplified Arabic" w:eastAsia="ArialMT" w:hAnsi="Simplified Arabic" w:cs="Simplified Arabic" w:hint="cs"/>
          <w:color w:val="000000"/>
          <w:sz w:val="28"/>
          <w:szCs w:val="28"/>
          <w:rtl/>
          <w:lang w:bidi="ar-LB"/>
        </w:rPr>
        <w:t>أ</w:t>
      </w:r>
      <w:r w:rsidR="00A73078" w:rsidRPr="00402C99">
        <w:rPr>
          <w:rFonts w:ascii="Simplified Arabic" w:eastAsia="ArialMT" w:hAnsi="Simplified Arabic" w:cs="Simplified Arabic"/>
          <w:color w:val="000000"/>
          <w:sz w:val="28"/>
          <w:szCs w:val="28"/>
          <w:rtl/>
          <w:lang w:bidi="ar-LB"/>
        </w:rPr>
        <w:t>و منطقياً من الاستدلالات الصحيحة</w:t>
      </w:r>
      <w:r w:rsidR="00A73078" w:rsidRPr="00402C99">
        <w:rPr>
          <w:rFonts w:ascii="Simplified Arabic" w:eastAsia="ArialMT" w:hAnsi="Simplified Arabic" w:cs="Simplified Arabic"/>
          <w:color w:val="000000"/>
          <w:sz w:val="28"/>
          <w:szCs w:val="28"/>
          <w:vertAlign w:val="superscript"/>
          <w:rtl/>
          <w:lang w:bidi="ar-LB"/>
        </w:rPr>
        <w:footnoteReference w:id="12"/>
      </w:r>
      <w:r w:rsidR="00EF51D6">
        <w:rPr>
          <w:rFonts w:ascii="Simplified Arabic" w:eastAsia="ArialMT" w:hAnsi="Simplified Arabic" w:cs="Simplified Arabic" w:hint="cs"/>
          <w:color w:val="000000"/>
          <w:sz w:val="28"/>
          <w:szCs w:val="28"/>
          <w:rtl/>
          <w:lang w:bidi="ar-LB"/>
        </w:rPr>
        <w:t>.</w:t>
      </w:r>
      <w:r w:rsidR="00A73078" w:rsidRPr="00402C99">
        <w:rPr>
          <w:rFonts w:ascii="Simplified Arabic" w:eastAsia="ArialMT" w:hAnsi="Simplified Arabic" w:cs="Simplified Arabic"/>
          <w:color w:val="000000"/>
          <w:sz w:val="28"/>
          <w:szCs w:val="28"/>
          <w:rtl/>
          <w:lang w:bidi="ar-LB"/>
        </w:rPr>
        <w:t xml:space="preserve"> كما أنّ للإنسان قدرة في استخدام الكلام في التعبير عن أشياء غير متواجدة في اللحظة، أو قل غائبة، أو مجردة، وحتى الأسطورية والغيبية.</w:t>
      </w:r>
    </w:p>
    <w:p w:rsidR="00A73078" w:rsidRPr="00402C99" w:rsidRDefault="005166BB"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كلما وقفنا على لفظ الكلام تبادرت إلى عقولنا دلالته على معنى التواصل إلا أنّ التواصل أعمّ من التبليغ، فيمكن أن يحدث التواصل عن طريق الآلة. أما التبليغ فهو عبارة عن نقل فائدة القول الطبيعي نقلاً يزدوج فيه الإظهار والإضمار. فالمتكلم ليس ذاتاً ناقلة كجهاز الإرسال</w:t>
      </w:r>
      <w:r w:rsidR="00A73078" w:rsidRPr="00402C99">
        <w:rPr>
          <w:rFonts w:ascii="Simplified Arabic" w:eastAsia="ArialMT" w:hAnsi="Simplified Arabic" w:cs="Simplified Arabic"/>
          <w:color w:val="000000"/>
          <w:sz w:val="28"/>
          <w:szCs w:val="28"/>
          <w:vertAlign w:val="superscript"/>
          <w:rtl/>
          <w:lang w:bidi="ar-LB"/>
        </w:rPr>
        <w:footnoteReference w:id="13"/>
      </w:r>
      <w:r w:rsidR="00EF51D6">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وإنما هو ذات مبلِّغة، أي ذات لا تقصد ما تظهر من الكلام وحسب، بل تجاوزه إلى قصد ما تُبطن فيه، معتمدة على ما أوردت منه من قرائن وما ورد منها خارجه</w:t>
      </w:r>
      <w:r w:rsidR="00A73078" w:rsidRPr="00402C99">
        <w:rPr>
          <w:rFonts w:ascii="Simplified Arabic" w:eastAsia="ArialMT" w:hAnsi="Simplified Arabic" w:cs="Simplified Arabic"/>
          <w:color w:val="000000"/>
          <w:sz w:val="28"/>
          <w:szCs w:val="28"/>
          <w:vertAlign w:val="superscript"/>
          <w:rtl/>
          <w:lang w:bidi="ar-LB"/>
        </w:rPr>
        <w:footnoteReference w:id="14"/>
      </w:r>
      <w:r w:rsidR="00EF51D6">
        <w:rPr>
          <w:rFonts w:ascii="Simplified Arabic" w:eastAsia="ArialMT" w:hAnsi="Simplified Arabic" w:cs="Simplified Arabic" w:hint="cs"/>
          <w:color w:val="000000"/>
          <w:sz w:val="28"/>
          <w:szCs w:val="28"/>
          <w:rtl/>
        </w:rPr>
        <w:t>.</w:t>
      </w:r>
    </w:p>
    <w:p w:rsidR="00EF51D6" w:rsidRDefault="005166BB"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rPr>
        <w:t xml:space="preserve">  </w:t>
      </w:r>
      <w:r w:rsidR="00A73078" w:rsidRPr="00402C99">
        <w:rPr>
          <w:rFonts w:ascii="Simplified Arabic" w:eastAsia="ArialMT" w:hAnsi="Simplified Arabic" w:cs="Simplified Arabic"/>
          <w:color w:val="000000"/>
          <w:sz w:val="28"/>
          <w:szCs w:val="28"/>
          <w:rtl/>
          <w:lang w:bidi="ar-LB"/>
        </w:rPr>
        <w:t xml:space="preserve">كما أنّ جوهر الكلام الإنساني لا يقوم في مجرد النطق بألفاظ مرتبة على مقتضى مدلولات محددة، لأنّ هذا النطق قد يقع عرضاً كما في حال النوم، والترتيب قد يأتي صدفة كما في حال اللعب، والدلالة قد </w:t>
      </w:r>
      <w:r w:rsidR="00A73078" w:rsidRPr="00402C99">
        <w:rPr>
          <w:rFonts w:ascii="Simplified Arabic" w:eastAsia="ArialMT" w:hAnsi="Simplified Arabic" w:cs="Simplified Arabic"/>
          <w:color w:val="000000"/>
          <w:sz w:val="28"/>
          <w:szCs w:val="28"/>
          <w:rtl/>
          <w:lang w:bidi="ar-LB"/>
        </w:rPr>
        <w:lastRenderedPageBreak/>
        <w:t>تنتزع عنوة كما في حال فلتة اللسان، فتحقيقه الكلام تكمن في كونه ينبني على قصدين اثنين</w:t>
      </w:r>
      <w:r w:rsidR="00A73078" w:rsidRPr="00402C99">
        <w:rPr>
          <w:rFonts w:ascii="Simplified Arabic" w:eastAsia="ArialMT" w:hAnsi="Simplified Arabic" w:cs="Simplified Arabic"/>
          <w:color w:val="000000"/>
          <w:sz w:val="28"/>
          <w:szCs w:val="28"/>
          <w:vertAlign w:val="superscript"/>
          <w:rtl/>
          <w:lang w:bidi="ar-LB"/>
        </w:rPr>
        <w:footnoteReference w:id="15"/>
      </w:r>
      <w:r w:rsidR="00A73078" w:rsidRPr="00402C99">
        <w:rPr>
          <w:rFonts w:ascii="Simplified Arabic" w:eastAsia="ArialMT" w:hAnsi="Simplified Arabic" w:cs="Simplified Arabic"/>
          <w:color w:val="000000"/>
          <w:sz w:val="28"/>
          <w:szCs w:val="28"/>
          <w:rtl/>
          <w:lang w:bidi="ar-LB"/>
        </w:rPr>
        <w:t>:</w:t>
      </w:r>
      <w:r w:rsidR="00EF51D6">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التوجه إلى الغير وإفهام هذا الغير. وخصّ علماء الإسلام هذا المعنى للكلام بلفظة "الخطاب"، حيث جاء أنّ "الخطاب هو الكلام إذا وقع على</w:t>
      </w:r>
      <w:r w:rsidR="00822176">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بعض الوجوه وليس كل كلام خطاباً، وكل خطاب كلام. والخطاب يفتقر في كونه كذلك إلى إرادة المخاطب لكونه خطاباً لمن هو خطاب له ومتوجهاً إليه، والذي يدلّ على ذلك أنّ الخطاب قد يُوافقه في جميع صفاته من وجود وحدوث وصيغة وترتيب ما ليس بخطاب، فلا بد من أمر زائد به كان خطاباً وهو قصد المخاطب"</w:t>
      </w:r>
      <w:r w:rsidR="00A73078" w:rsidRPr="00402C99">
        <w:rPr>
          <w:rFonts w:ascii="Simplified Arabic" w:eastAsia="ArialMT" w:hAnsi="Simplified Arabic" w:cs="Simplified Arabic"/>
          <w:color w:val="000000"/>
          <w:sz w:val="28"/>
          <w:szCs w:val="28"/>
          <w:vertAlign w:val="superscript"/>
          <w:rtl/>
          <w:lang w:bidi="ar-LB"/>
        </w:rPr>
        <w:footnoteReference w:id="16"/>
      </w:r>
      <w:r w:rsidR="00EF51D6">
        <w:rPr>
          <w:rFonts w:ascii="Simplified Arabic" w:eastAsia="ArialMT" w:hAnsi="Simplified Arabic" w:cs="Simplified Arabic" w:hint="cs"/>
          <w:color w:val="000000"/>
          <w:sz w:val="28"/>
          <w:szCs w:val="28"/>
          <w:rtl/>
          <w:lang w:bidi="ar-LB"/>
        </w:rPr>
        <w:t>.</w:t>
      </w:r>
      <w:r>
        <w:rPr>
          <w:rFonts w:ascii="Simplified Arabic" w:eastAsia="ArialMT" w:hAnsi="Simplified Arabic" w:cs="Simplified Arabic" w:hint="cs"/>
          <w:color w:val="000000"/>
          <w:sz w:val="28"/>
          <w:szCs w:val="28"/>
          <w:rtl/>
          <w:lang w:bidi="ar-LB"/>
        </w:rPr>
        <w:t xml:space="preserve"> </w:t>
      </w:r>
    </w:p>
    <w:p w:rsidR="00A73078" w:rsidRPr="00402C99" w:rsidRDefault="00EF51D6" w:rsidP="00EF51D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وعليه يكون معنى الخطاب هو: "اللفظ المتواضع عليه المقصود به إفهام من هو متهيئ لفهمه"</w:t>
      </w:r>
      <w:r w:rsidR="00A73078" w:rsidRPr="00402C99">
        <w:rPr>
          <w:rFonts w:ascii="Simplified Arabic" w:eastAsia="ArialMT" w:hAnsi="Simplified Arabic" w:cs="Simplified Arabic"/>
          <w:color w:val="000000"/>
          <w:sz w:val="28"/>
          <w:szCs w:val="28"/>
          <w:vertAlign w:val="superscript"/>
          <w:rtl/>
          <w:lang w:bidi="ar-LB"/>
        </w:rPr>
        <w:footnoteReference w:id="17"/>
      </w:r>
      <w:r w:rsidR="00A73078" w:rsidRPr="00402C99">
        <w:rPr>
          <w:rFonts w:ascii="Simplified Arabic" w:eastAsia="ArialMT" w:hAnsi="Simplified Arabic" w:cs="Simplified Arabic"/>
          <w:color w:val="000000"/>
          <w:sz w:val="28"/>
          <w:szCs w:val="28"/>
          <w:rtl/>
          <w:lang w:bidi="ar-LB"/>
        </w:rPr>
        <w:t>.</w:t>
      </w:r>
      <w:r w:rsidR="00E71B6D">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أي توجيه الكلام نحو الغير للإفهام، فاحترز الآمدي في تعريفه للخطاب بكلمة لفظ عن الحركات والإشارات المفهمة بالمواضعة وقصد بكلمة المتواضع عليه الاحتراز عن الأقوال المهملة، وبعبارة المقصود به الإفهام احترز عن الكلام باعتبار أنّ الكلام قد لا يقصد به إفهام المستمع أما قوله: لمن هو متهيئ لفهمه احترز عن الخطاب لمن لا يفهمه كالبهائم والمجنون والطفل</w:t>
      </w:r>
      <w:r w:rsidR="00A73078" w:rsidRPr="00402C99">
        <w:rPr>
          <w:rFonts w:ascii="Simplified Arabic" w:eastAsia="ArialMT" w:hAnsi="Simplified Arabic" w:cs="Simplified Arabic"/>
          <w:color w:val="000000"/>
          <w:sz w:val="28"/>
          <w:szCs w:val="28"/>
          <w:vertAlign w:val="superscript"/>
          <w:rtl/>
          <w:lang w:bidi="ar-LB"/>
        </w:rPr>
        <w:footnoteReference w:id="18"/>
      </w:r>
      <w:r w:rsidR="00822176">
        <w:rPr>
          <w:rFonts w:ascii="Simplified Arabic" w:eastAsia="ArialMT" w:hAnsi="Simplified Arabic" w:cs="Simplified Arabic" w:hint="cs"/>
          <w:color w:val="000000"/>
          <w:sz w:val="28"/>
          <w:szCs w:val="28"/>
          <w:rtl/>
        </w:rPr>
        <w:t>.</w:t>
      </w:r>
    </w:p>
    <w:p w:rsidR="00A73078" w:rsidRPr="00402C99" w:rsidRDefault="005166BB" w:rsidP="00D377C6">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فحقيقة الكلام إذن ليست هي الدخول في علاقة بألفاظ معينة بقدر ما هي الدخول في علاقة تخاطبية مع الغير قصد إفهامه أو قل تبليغه، فلا كلام بغير تخاطب</w:t>
      </w:r>
      <w:r w:rsidR="00A73078" w:rsidRPr="00402C99">
        <w:rPr>
          <w:rFonts w:ascii="Simplified Arabic" w:eastAsia="ArialMT" w:hAnsi="Simplified Arabic" w:cs="Simplified Arabic"/>
          <w:color w:val="000000"/>
          <w:sz w:val="28"/>
          <w:szCs w:val="28"/>
          <w:vertAlign w:val="superscript"/>
          <w:rtl/>
          <w:lang w:bidi="ar-LB"/>
        </w:rPr>
        <w:footnoteReference w:id="19"/>
      </w:r>
      <w:r w:rsidR="00EF51D6">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فالتبليغ خطاب يُشرك فيه المتكلم المخاطب المخاطَب في إنشاء كلامه فيكون بذلك إنشاء الكلام من لدن المتكلم وفهمه من لدن المخاطب عمليتين لا انفصال لأحدهما عن الأخرى، وانفراد المخاطب بالسبق الزمني ما كان ليلزم عنه انفراد بتكوين مضمون الكلام، بل ما أن يَشرعَ المتكلم في النطق حتى يقاسمه المخاطب دلالاته</w:t>
      </w:r>
      <w:r w:rsidR="00A73078" w:rsidRPr="00402C99">
        <w:rPr>
          <w:rFonts w:ascii="Simplified Arabic" w:eastAsia="ArialMT" w:hAnsi="Simplified Arabic" w:cs="Simplified Arabic"/>
          <w:color w:val="000000"/>
          <w:sz w:val="28"/>
          <w:szCs w:val="28"/>
          <w:vertAlign w:val="superscript"/>
          <w:rtl/>
          <w:lang w:bidi="ar-LB"/>
        </w:rPr>
        <w:footnoteReference w:id="20"/>
      </w:r>
      <w:r w:rsidR="00822176">
        <w:rPr>
          <w:rFonts w:ascii="Simplified Arabic" w:eastAsia="ArialMT" w:hAnsi="Simplified Arabic" w:cs="Simplified Arabic" w:hint="cs"/>
          <w:color w:val="000000"/>
          <w:sz w:val="28"/>
          <w:szCs w:val="28"/>
          <w:rtl/>
        </w:rPr>
        <w:t>.</w:t>
      </w:r>
    </w:p>
    <w:p w:rsidR="00A73078" w:rsidRPr="00402C99" w:rsidRDefault="005166BB" w:rsidP="001D6958">
      <w:pPr>
        <w:autoSpaceDE w:val="0"/>
        <w:autoSpaceDN w:val="0"/>
        <w:bidi/>
        <w:adjustRightInd w:val="0"/>
        <w:spacing w:after="0" w:line="240" w:lineRule="auto"/>
        <w:ind w:left="-1"/>
        <w:jc w:val="both"/>
        <w:rPr>
          <w:rFonts w:ascii="Simplified Arabic" w:eastAsia="ArialMT" w:hAnsi="Simplified Arabic" w:cs="Simplified Arabic"/>
          <w:color w:val="000000"/>
          <w:sz w:val="28"/>
          <w:szCs w:val="28"/>
          <w:rtl/>
          <w:lang w:bidi="ar-LB"/>
        </w:rPr>
      </w:pPr>
      <w:r>
        <w:rPr>
          <w:rFonts w:ascii="Simplified Arabic" w:eastAsia="ArialMT" w:hAnsi="Simplified Arabic" w:cs="Simplified Arabic" w:hint="cs"/>
          <w:color w:val="000000"/>
          <w:sz w:val="28"/>
          <w:szCs w:val="28"/>
          <w:rtl/>
          <w:lang w:bidi="ar-LB"/>
        </w:rPr>
        <w:t xml:space="preserve">  </w:t>
      </w:r>
      <w:r w:rsidR="00A73078" w:rsidRPr="00402C99">
        <w:rPr>
          <w:rFonts w:ascii="Simplified Arabic" w:eastAsia="ArialMT" w:hAnsi="Simplified Arabic" w:cs="Simplified Arabic"/>
          <w:color w:val="000000"/>
          <w:sz w:val="28"/>
          <w:szCs w:val="28"/>
          <w:rtl/>
          <w:lang w:bidi="ar-LB"/>
        </w:rPr>
        <w:t xml:space="preserve">وإذا كانت اللغة وبالتالي الكلام والخطاب هذا هو شأنها فإنّ الفلسفة باعتبارها عمليات فكرية وطرق استدلالية بامتياز، فإنّها لا تنفك على أن تتمظهر في شكل لغوي حتى تثبت وجودها، والفكر الذي لا يتجلى عن طريق اللغة ومن خلالها وبها لا وجود له، بل هو في حكم العدم. وإذا كانت الفلسفة خطاب – فكر موجه إلى الغير قصد إفهامه وتبليغه هذا الفكر فلا يمكن أن يكون هذا الخطاب قولاً خاصاً لا يفهمه إلا أناس قليلون يعتمدون في كلامهم على مصطلحات وتراكيب ورموز خاصة مغلقة على غيرهم؛ ففي هذه الحالة تفتقد الفلسفة إلى التواصل، وقل إلى التبليغ إلى الغير الذي كانت تقصده بالخطاب، وبالتالي </w:t>
      </w:r>
      <w:r w:rsidR="00A73078" w:rsidRPr="00402C99">
        <w:rPr>
          <w:rFonts w:ascii="Simplified Arabic" w:eastAsia="ArialMT" w:hAnsi="Simplified Arabic" w:cs="Simplified Arabic"/>
          <w:color w:val="000000"/>
          <w:sz w:val="28"/>
          <w:szCs w:val="28"/>
          <w:rtl/>
          <w:lang w:bidi="ar-LB"/>
        </w:rPr>
        <w:lastRenderedPageBreak/>
        <w:t>تدخل هذه الفلسفة الخاصة في دائرة العدم بعد أن كانت تطلب الظهور والتجلي، ولا سبيل لها إلى التجلي والظهور إلا في حضن اللغات الإنسانية.</w:t>
      </w:r>
    </w:p>
    <w:p w:rsidR="00A73078" w:rsidRPr="00402C99" w:rsidRDefault="00A73078" w:rsidP="00D377C6">
      <w:pPr>
        <w:autoSpaceDE w:val="0"/>
        <w:autoSpaceDN w:val="0"/>
        <w:bidi/>
        <w:adjustRightInd w:val="0"/>
        <w:spacing w:after="0" w:line="240" w:lineRule="auto"/>
        <w:ind w:left="-1" w:right="709"/>
        <w:jc w:val="both"/>
        <w:rPr>
          <w:rFonts w:ascii="Simplified Arabic" w:hAnsi="Simplified Arabic" w:cs="Simplified Arabic"/>
          <w:b/>
          <w:bCs/>
          <w:sz w:val="28"/>
          <w:szCs w:val="28"/>
          <w:rtl/>
        </w:rPr>
      </w:pPr>
      <w:r w:rsidRPr="00402C99">
        <w:rPr>
          <w:rFonts w:ascii="Simplified Arabic" w:hAnsi="Simplified Arabic" w:cs="Simplified Arabic"/>
          <w:b/>
          <w:bCs/>
          <w:sz w:val="28"/>
          <w:szCs w:val="28"/>
          <w:rtl/>
        </w:rPr>
        <w:t>1.</w:t>
      </w:r>
      <w:bookmarkStart w:id="3" w:name="_Hlk73030746"/>
      <w:r w:rsidRPr="00402C99">
        <w:rPr>
          <w:rFonts w:ascii="Simplified Arabic" w:hAnsi="Simplified Arabic" w:cs="Simplified Arabic"/>
          <w:b/>
          <w:bCs/>
          <w:sz w:val="28"/>
          <w:szCs w:val="28"/>
          <w:rtl/>
          <w:lang w:bidi="ar-LB"/>
        </w:rPr>
        <w:t>اللغة الطبيعية واللغة الصناعية ومميزاتهما</w:t>
      </w:r>
      <w:bookmarkEnd w:id="3"/>
      <w:r w:rsidR="00EF51D6">
        <w:rPr>
          <w:rFonts w:ascii="Simplified Arabic" w:hAnsi="Simplified Arabic" w:cs="Simplified Arabic" w:hint="cs"/>
          <w:b/>
          <w:bCs/>
          <w:sz w:val="28"/>
          <w:szCs w:val="28"/>
          <w:rtl/>
        </w:rPr>
        <w:t>:</w:t>
      </w:r>
    </w:p>
    <w:p w:rsidR="00A73078" w:rsidRPr="00402C99" w:rsidRDefault="00A73078" w:rsidP="00D377C6">
      <w:pPr>
        <w:numPr>
          <w:ilvl w:val="1"/>
          <w:numId w:val="2"/>
        </w:numPr>
        <w:autoSpaceDE w:val="0"/>
        <w:autoSpaceDN w:val="0"/>
        <w:bidi/>
        <w:adjustRightInd w:val="0"/>
        <w:spacing w:after="0" w:line="240" w:lineRule="auto"/>
        <w:ind w:left="-1" w:right="709" w:firstLine="0"/>
        <w:jc w:val="both"/>
        <w:rPr>
          <w:rFonts w:ascii="Simplified Arabic" w:hAnsi="Simplified Arabic" w:cs="Simplified Arabic"/>
          <w:sz w:val="28"/>
          <w:szCs w:val="28"/>
          <w:rtl/>
        </w:rPr>
      </w:pPr>
      <w:bookmarkStart w:id="4" w:name="_Hlk73030776"/>
      <w:r w:rsidRPr="00402C99">
        <w:rPr>
          <w:rFonts w:ascii="Simplified Arabic" w:hAnsi="Simplified Arabic" w:cs="Simplified Arabic"/>
          <w:b/>
          <w:bCs/>
          <w:sz w:val="28"/>
          <w:szCs w:val="28"/>
          <w:rtl/>
          <w:lang w:bidi="ar-LB"/>
        </w:rPr>
        <w:t>ارتباط الفلسفة باللغة:</w:t>
      </w:r>
      <w:bookmarkEnd w:id="4"/>
    </w:p>
    <w:p w:rsidR="00A73078" w:rsidRPr="00402C99" w:rsidRDefault="00A73078" w:rsidP="001D6958">
      <w:pPr>
        <w:autoSpaceDE w:val="0"/>
        <w:autoSpaceDN w:val="0"/>
        <w:bidi/>
        <w:adjustRightInd w:val="0"/>
        <w:spacing w:after="0" w:line="240" w:lineRule="auto"/>
        <w:ind w:left="-1"/>
        <w:jc w:val="both"/>
        <w:rPr>
          <w:rFonts w:ascii="Simplified Arabic" w:hAnsi="Simplified Arabic" w:cs="Simplified Arabic"/>
          <w:sz w:val="28"/>
          <w:szCs w:val="28"/>
          <w:rtl/>
          <w:lang w:bidi="ar-LB"/>
        </w:rPr>
      </w:pPr>
      <w:bookmarkStart w:id="5" w:name="_Hlk72953181"/>
      <w:r>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إذا كان التفلسف هو عملية فكرية لا تنفك عن الظهور والتجلي إلا عن طريق اللغة، وأنّ الفكر هو بالقوة ولا يتحول إلى فعل – بتعبير أرسطو – إلا إذا لبس لباس اللغة حتى يستحق شرف الوجود، فإنّ اللغة الفلسفية ليست الإعلام عن الأفكار والطروحات بواسطة أصوات أو خطوط مرئية ورموز مشفرة مخصوصة، وإنما هي الفعل الذي يخرج منه نص مقروء في لغة إنسانية طبيعية. ومعلوم أنّ النص اللغوي هو عبارة عن تأليف تحته عمليات إنشائية وتصنيعية مختلفة تجعل بعض المضامين الفكرية والأشكال والصيغ التعبيرية الطبيعية تتشابك وتتداخل فيما بينها، بحيث يتولد منها نسيج خطابي واحد "أو قل ينبني منها صرح مشيّد</w:t>
      </w:r>
      <w:bookmarkEnd w:id="5"/>
      <w:r w:rsidRPr="00402C99">
        <w:rPr>
          <w:rFonts w:ascii="Simplified Arabic" w:hAnsi="Simplified Arabic" w:cs="Simplified Arabic"/>
          <w:sz w:val="28"/>
          <w:szCs w:val="28"/>
          <w:rtl/>
          <w:lang w:bidi="ar-LB"/>
        </w:rPr>
        <w:t>"</w:t>
      </w:r>
      <w:r w:rsidRPr="00402C99">
        <w:rPr>
          <w:rFonts w:ascii="Simplified Arabic" w:hAnsi="Simplified Arabic" w:cs="Simplified Arabic"/>
          <w:sz w:val="28"/>
          <w:szCs w:val="28"/>
          <w:vertAlign w:val="superscript"/>
          <w:rtl/>
          <w:lang w:bidi="ar-LB"/>
        </w:rPr>
        <w:footnoteReference w:id="21"/>
      </w:r>
      <w:r w:rsidR="00E01E95">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ثمّ إنّ القراءة</w:t>
      </w:r>
      <w:r w:rsidR="00EF51D6">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w:t>
      </w:r>
      <w:r w:rsidR="00EF51D6">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قراءة النص اللغوي- هي عملية تأويلية صريحة يصير بها القارئ مشاركاً بوجه من الوجوه للمؤلف في بناء الوحدة الدلالية لهذا الصرح اللغوي المشيد</w:t>
      </w:r>
      <w:r w:rsidRPr="00402C99">
        <w:rPr>
          <w:rFonts w:ascii="Simplified Arabic" w:hAnsi="Simplified Arabic" w:cs="Simplified Arabic"/>
          <w:sz w:val="28"/>
          <w:szCs w:val="28"/>
          <w:vertAlign w:val="superscript"/>
          <w:rtl/>
          <w:lang w:bidi="ar-LB"/>
        </w:rPr>
        <w:footnoteReference w:id="22"/>
      </w:r>
      <w:r w:rsidR="00E01E95">
        <w:rPr>
          <w:rFonts w:ascii="Simplified Arabic" w:hAnsi="Simplified Arabic" w:cs="Simplified Arabic" w:hint="cs"/>
          <w:sz w:val="28"/>
          <w:szCs w:val="28"/>
          <w:rtl/>
          <w:lang w:bidi="ar-LB"/>
        </w:rPr>
        <w:t>.</w:t>
      </w:r>
    </w:p>
    <w:p w:rsidR="00EF51D6" w:rsidRDefault="005166BB" w:rsidP="001D6958">
      <w:pPr>
        <w:tabs>
          <w:tab w:val="left" w:pos="9638"/>
        </w:tabs>
        <w:autoSpaceDE w:val="0"/>
        <w:autoSpaceDN w:val="0"/>
        <w:bidi/>
        <w:adjustRightInd w:val="0"/>
        <w:spacing w:after="0" w:line="240" w:lineRule="auto"/>
        <w:ind w:left="-1"/>
        <w:jc w:val="both"/>
        <w:rPr>
          <w:rFonts w:ascii="Simplified Arabic" w:hAnsi="Simplified Arabic" w:cs="Simplified Arabic"/>
          <w:sz w:val="28"/>
          <w:szCs w:val="28"/>
          <w:rtl/>
          <w:lang w:bidi="ar-LB"/>
        </w:rPr>
      </w:pPr>
      <w:bookmarkStart w:id="6" w:name="_Hlk72953496"/>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lang w:bidi="ar-LB"/>
        </w:rPr>
        <w:t>ولما كان النص المؤلف في لسان طبيعي خاص مختلف عن نص في لسان طبيعي آخر، نظراً لاختلاف بلاغة الأشكال وطرائق الأساليب وأشكال التعبير باختلاف اللغات الإنسانية، لزم أن يأتي الخطاب الفلسفي على مقتضى النصية الخاصة بهذا اللسان الطبيعي الخاص فيكتب بأشكال البلاغة الخاصة به، لا على مقتضى نصية غيره حتى وإذا كان ترجمة له</w:t>
      </w:r>
      <w:bookmarkEnd w:id="6"/>
      <w:r w:rsidR="00A73078" w:rsidRPr="00402C99">
        <w:rPr>
          <w:rFonts w:ascii="Simplified Arabic" w:hAnsi="Simplified Arabic" w:cs="Simplified Arabic"/>
          <w:sz w:val="28"/>
          <w:szCs w:val="28"/>
          <w:rtl/>
          <w:lang w:bidi="ar-LB"/>
        </w:rPr>
        <w:t xml:space="preserve">. ولقد بيّنت أبحاث "بنفنيست" </w:t>
      </w:r>
      <w:r w:rsidR="00A73078" w:rsidRPr="005166BB">
        <w:rPr>
          <w:rFonts w:asciiTheme="majorBidi" w:hAnsiTheme="majorBidi" w:cstheme="majorBidi"/>
          <w:sz w:val="24"/>
          <w:szCs w:val="24"/>
          <w:lang w:val="en-US"/>
        </w:rPr>
        <w:t>Benveniste</w:t>
      </w:r>
      <w:r w:rsidR="00A73078" w:rsidRPr="00402C99">
        <w:rPr>
          <w:rFonts w:ascii="Simplified Arabic" w:hAnsi="Simplified Arabic" w:cs="Simplified Arabic"/>
          <w:sz w:val="28"/>
          <w:szCs w:val="28"/>
          <w:rtl/>
          <w:lang w:bidi="ar-LB"/>
        </w:rPr>
        <w:t xml:space="preserve"> أنّ ما يعرف في أوروبا بالفلسفة إنما هو شديد التأثر بالبنية اللغوية وأشكال الخطاب اليوناني</w:t>
      </w:r>
      <w:r w:rsidR="00A73078" w:rsidRPr="00402C99">
        <w:rPr>
          <w:rFonts w:ascii="Simplified Arabic" w:hAnsi="Simplified Arabic" w:cs="Simplified Arabic"/>
          <w:sz w:val="28"/>
          <w:szCs w:val="28"/>
          <w:vertAlign w:val="superscript"/>
          <w:rtl/>
          <w:lang w:bidi="ar-LB"/>
        </w:rPr>
        <w:footnoteReference w:id="23"/>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w:t>
      </w:r>
    </w:p>
    <w:p w:rsidR="00A73078" w:rsidRPr="00402C99" w:rsidRDefault="00EF51D6" w:rsidP="00EF51D6">
      <w:pPr>
        <w:tabs>
          <w:tab w:val="left" w:pos="9638"/>
        </w:tabs>
        <w:autoSpaceDE w:val="0"/>
        <w:autoSpaceDN w:val="0"/>
        <w:bidi/>
        <w:adjustRightInd w:val="0"/>
        <w:spacing w:after="0" w:line="240" w:lineRule="auto"/>
        <w:ind w:left="-1"/>
        <w:jc w:val="both"/>
        <w:rPr>
          <w:rFonts w:ascii="Simplified Arabic" w:hAnsi="Simplified Arabic" w:cs="Simplified Arabic"/>
          <w:sz w:val="28"/>
          <w:szCs w:val="28"/>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بمعنى آخر إنّ الفلسفة الأوروبية الوسيطة والحديثة شديدة الصلة باللغة اليونانية، وإذا كانت الفلسفة الأوروبية تستند إلى اللغة اليونانية الطبيعية وإلى لغاتها الطبيعية المحلية، فإنّه لا شك أنّ لهذه الفلسفة أصولاً خاصة بها ومن الطبيعي والممكن أن توجد أصول فلسفية تختلف عن أصول الفلسفة اليونانية ولا تفتقر إليها في شيء، مما يترتب عليه القول بتعدد الأصول الفلسفية باختلاف الثقافات واللغات الطبيعية وتعددها. ولا يمكن أن ينكر المتفلسف وجود أصول فلسفية تختص بها ثقافة معينة أو تشترك فيها بعض الثقافات دون غيرها، والدليل على ذلك اختلاف الفلاسفة والمفكرين من كل الثقافات والحضارات، فالفلاسفة "ليسوا أمّة واحدة لها مقالة في العلم الإلهي والطبيعي وغيرهما، بل هم أصناف متفرقون وبينهم من التفرقة والاختلاف ما لا يحصيه إلا الله– أعظم مما بين الملة الواحدة كاليهود والنصارى أضعافاً </w:t>
      </w:r>
      <w:r w:rsidR="00A73078" w:rsidRPr="00402C99">
        <w:rPr>
          <w:rFonts w:ascii="Simplified Arabic" w:hAnsi="Simplified Arabic" w:cs="Simplified Arabic"/>
          <w:sz w:val="28"/>
          <w:szCs w:val="28"/>
          <w:rtl/>
          <w:lang w:bidi="ar-LB"/>
        </w:rPr>
        <w:lastRenderedPageBreak/>
        <w:t>مضاعفة"</w:t>
      </w:r>
      <w:r w:rsidR="00A73078" w:rsidRPr="00402C99">
        <w:rPr>
          <w:rFonts w:ascii="Simplified Arabic" w:hAnsi="Simplified Arabic" w:cs="Simplified Arabic"/>
          <w:sz w:val="28"/>
          <w:szCs w:val="28"/>
          <w:vertAlign w:val="superscript"/>
          <w:rtl/>
          <w:lang w:bidi="ar-LB"/>
        </w:rPr>
        <w:footnoteReference w:id="24"/>
      </w:r>
      <w:r w:rsidR="00A73078" w:rsidRPr="00402C99">
        <w:rPr>
          <w:rFonts w:ascii="Simplified Arabic" w:hAnsi="Simplified Arabic" w:cs="Simplified Arabic"/>
          <w:sz w:val="28"/>
          <w:szCs w:val="28"/>
          <w:rtl/>
          <w:lang w:bidi="ar-LB"/>
        </w:rPr>
        <w:t xml:space="preserve"> على حد تعبير ابن تيمية، وكل ذلك يرجع بالدرجة الأولى إلى اللغة الطبيعية وقدرتها على إرساء الاختلاف بين أبناء اللسان الواحد فضلاً عن أبناء الألسن الأخرى.</w:t>
      </w:r>
    </w:p>
    <w:p w:rsidR="00A73078" w:rsidRPr="00402C99" w:rsidRDefault="00A73078" w:rsidP="00D377C6">
      <w:pPr>
        <w:autoSpaceDE w:val="0"/>
        <w:autoSpaceDN w:val="0"/>
        <w:bidi/>
        <w:adjustRightInd w:val="0"/>
        <w:spacing w:after="0" w:line="240" w:lineRule="auto"/>
        <w:ind w:left="-1" w:right="709"/>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t>2.1.</w:t>
      </w:r>
      <w:r w:rsidRPr="00402C99">
        <w:rPr>
          <w:rFonts w:ascii="Simplified Arabic" w:hAnsi="Simplified Arabic" w:cs="Simplified Arabic"/>
          <w:b/>
          <w:bCs/>
          <w:sz w:val="28"/>
          <w:szCs w:val="28"/>
          <w:rtl/>
          <w:lang w:bidi="ar-LB"/>
        </w:rPr>
        <w:t>تعريف اللغة الطبيعية واللغة الصناعية:</w:t>
      </w:r>
    </w:p>
    <w:p w:rsidR="00E01E95" w:rsidRDefault="005166BB" w:rsidP="001D6958">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كما هو معلوم أنّ اللغة الطبيعية هي لغة تواصلية تعبيرية تمثل كل أبناء اللسان الطبيعي الواحد من جهة، ثم إنّها لغة قادرة على وصف نفسها من جهة أخرى، فالمتكلم باللغة الطبيعية صاحب عادات نطقية معينة يحددها العُرف وهناك الباحث صاحب منهج محدد تحدده عوامل تتصل بطبيعة المادة المدروسة، والمتكلم عند قيامه بعملية التواصل والتبليغ أو التعبير عما يجول في ذهنه أو ما يحوز في نفسه يستجيب لقواعد يرعاها في الكلام إن لم يستطع إدراكها جملة ولا تفصيلاً.</w:t>
      </w:r>
    </w:p>
    <w:p w:rsidR="00A73078" w:rsidRDefault="00E01E95" w:rsidP="00E01E95">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 أما الباحث فله طريقة يصل بها إلى استخراج هذه القواعد حتى يستطيع أن يُعبّر عنها بالتفصيل.</w:t>
      </w:r>
      <w:r w:rsidR="00A73078">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يخضع المتكلم للعرف مستخدماً وسائل لا يعرفها عكس الباحث فإنّه يخضع للمنهج مستخدماً وسائل وطرق للكشف عن وسائل المتكلم. من هنا يمكن القول أنّ المتكلم يخضع لمعايير لغته الطبيعية بينما يرمي الباحث في اللغة إلى وصفها، فهي بالنسبة إليه ظواهر تلاحظ وموضوع يدرس ويبحث</w:t>
      </w:r>
      <w:r w:rsidR="00A73078" w:rsidRPr="00402C99">
        <w:rPr>
          <w:rFonts w:ascii="Simplified Arabic" w:hAnsi="Simplified Arabic" w:cs="Simplified Arabic"/>
          <w:sz w:val="28"/>
          <w:szCs w:val="28"/>
          <w:vertAlign w:val="superscript"/>
          <w:rtl/>
          <w:lang w:bidi="ar-LB"/>
        </w:rPr>
        <w:footnoteReference w:id="25"/>
      </w:r>
      <w:r w:rsidR="00EF51D6">
        <w:rPr>
          <w:rFonts w:ascii="Simplified Arabic" w:hAnsi="Simplified Arabic" w:cs="Simplified Arabic" w:hint="cs"/>
          <w:sz w:val="28"/>
          <w:szCs w:val="28"/>
          <w:rtl/>
          <w:lang w:bidi="ar-LB"/>
        </w:rPr>
        <w:t>.</w:t>
      </w:r>
    </w:p>
    <w:p w:rsidR="00A73078" w:rsidRPr="00402C99" w:rsidRDefault="005166BB"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أما اللغة الصناعية فهي لغة صورية لا تتمثل كل أبناء اللسان الواحد فضلاً عن عدم قدرتها عن وصف نفسها بعكس اللغة الطبيعية. ثم إن الذي يُميز ويُساهم في توسيع الفروق بين اللغة الطبيعية واللغة الصناعية هو البعد التداولي </w:t>
      </w:r>
      <w:r w:rsidR="00A73078" w:rsidRPr="00E01E95">
        <w:rPr>
          <w:rFonts w:asciiTheme="majorBidi" w:hAnsiTheme="majorBidi" w:cstheme="majorBidi"/>
          <w:sz w:val="24"/>
          <w:szCs w:val="24"/>
          <w:lang w:val="en-US" w:bidi="ar-LB"/>
        </w:rPr>
        <w:t>La pragmatique</w:t>
      </w:r>
      <w:r w:rsidR="00A73078" w:rsidRPr="00402C99">
        <w:rPr>
          <w:rFonts w:ascii="Simplified Arabic" w:hAnsi="Simplified Arabic" w:cs="Simplified Arabic"/>
          <w:sz w:val="28"/>
          <w:szCs w:val="28"/>
          <w:rtl/>
          <w:lang w:bidi="ar-LB"/>
        </w:rPr>
        <w:t xml:space="preserve"> هذا بالإضافة إلى التفاوت الحاصل على المستويين التركيبي والدلالي.</w:t>
      </w:r>
    </w:p>
    <w:p w:rsidR="00A73078" w:rsidRPr="00402C99" w:rsidRDefault="005166BB"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أما البعد التواصلي فقد عدّه الدارسون أكثر المجالات التي تسمح بالكشف عن </w:t>
      </w:r>
      <w:r w:rsidR="00EF51D6">
        <w:rPr>
          <w:rFonts w:ascii="Simplified Arabic" w:hAnsi="Simplified Arabic" w:cs="Simplified Arabic"/>
          <w:sz w:val="28"/>
          <w:szCs w:val="28"/>
          <w:rtl/>
          <w:lang w:bidi="ar-LB"/>
        </w:rPr>
        <w:t xml:space="preserve">خصوصيات اللغة الطبيعية باعتبار </w:t>
      </w:r>
      <w:r w:rsidR="00EF51D6">
        <w:rPr>
          <w:rFonts w:ascii="Simplified Arabic" w:hAnsi="Simplified Arabic" w:cs="Simplified Arabic" w:hint="cs"/>
          <w:sz w:val="28"/>
          <w:szCs w:val="28"/>
          <w:rtl/>
          <w:lang w:bidi="ar-LB"/>
        </w:rPr>
        <w:t>أ</w:t>
      </w:r>
      <w:r w:rsidR="00A73078" w:rsidRPr="00402C99">
        <w:rPr>
          <w:rFonts w:ascii="Simplified Arabic" w:hAnsi="Simplified Arabic" w:cs="Simplified Arabic"/>
          <w:sz w:val="28"/>
          <w:szCs w:val="28"/>
          <w:rtl/>
          <w:lang w:bidi="ar-LB"/>
        </w:rPr>
        <w:t>نّ الوظائف التواصلية هي الخاصية التي تميّز اللغة الطبيعية عن اللغة الصناعية</w:t>
      </w:r>
      <w:r w:rsidR="00A73078" w:rsidRPr="00402C99">
        <w:rPr>
          <w:rFonts w:ascii="Simplified Arabic" w:hAnsi="Simplified Arabic" w:cs="Simplified Arabic"/>
          <w:sz w:val="28"/>
          <w:szCs w:val="28"/>
          <w:vertAlign w:val="superscript"/>
          <w:rtl/>
          <w:lang w:bidi="ar-LB"/>
        </w:rPr>
        <w:footnoteReference w:id="26"/>
      </w:r>
      <w:r w:rsidR="00EF51D6">
        <w:rPr>
          <w:rFonts w:ascii="Simplified Arabic" w:hAnsi="Simplified Arabic" w:cs="Simplified Arabic" w:hint="cs"/>
          <w:sz w:val="28"/>
          <w:szCs w:val="28"/>
          <w:rtl/>
          <w:lang w:bidi="ar-LB"/>
        </w:rPr>
        <w:t>.</w:t>
      </w:r>
    </w:p>
    <w:p w:rsidR="00A73078" w:rsidRPr="00402C99" w:rsidRDefault="00A73078" w:rsidP="00D377C6">
      <w:pPr>
        <w:autoSpaceDE w:val="0"/>
        <w:autoSpaceDN w:val="0"/>
        <w:bidi/>
        <w:adjustRightInd w:val="0"/>
        <w:spacing w:after="0" w:line="240" w:lineRule="auto"/>
        <w:ind w:left="-1" w:right="709"/>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من هنا يمكن التمييز بين اللغتين الطبيعية والصناعية كما يلي:</w:t>
      </w:r>
    </w:p>
    <w:p w:rsidR="00A73078" w:rsidRPr="00402C99" w:rsidRDefault="00A73078" w:rsidP="00D377C6">
      <w:pPr>
        <w:autoSpaceDE w:val="0"/>
        <w:autoSpaceDN w:val="0"/>
        <w:bidi/>
        <w:adjustRightInd w:val="0"/>
        <w:spacing w:after="0" w:line="240" w:lineRule="auto"/>
        <w:ind w:left="-1" w:right="709"/>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-اللغة الطبيعية لها القدرة على تمثيل كل إنسان.</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lang w:val="en-US" w:bidi="ar-LB"/>
        </w:rPr>
      </w:pPr>
      <w:r w:rsidRPr="00402C99">
        <w:rPr>
          <w:rFonts w:ascii="Simplified Arabic" w:hAnsi="Simplified Arabic" w:cs="Simplified Arabic"/>
          <w:sz w:val="28"/>
          <w:szCs w:val="28"/>
          <w:rtl/>
          <w:lang w:bidi="ar-LB"/>
        </w:rPr>
        <w:t xml:space="preserve">- لها القدرة على وصف نفسها، فهي اللغة الوحيدة القادرة على وصف الأنساق الدلالية الأخرى –نحو الأنساق العلمية والمنطقية- بالإضافة إلى كونها لغة فوقية </w:t>
      </w:r>
      <w:r w:rsidRPr="005166BB">
        <w:rPr>
          <w:rFonts w:asciiTheme="majorBidi" w:hAnsiTheme="majorBidi" w:cstheme="majorBidi"/>
          <w:sz w:val="24"/>
          <w:szCs w:val="24"/>
          <w:lang w:val="en-US" w:bidi="ar-LB"/>
        </w:rPr>
        <w:t>Métalangage</w:t>
      </w:r>
      <w:r w:rsidRPr="00402C99">
        <w:rPr>
          <w:rFonts w:ascii="Simplified Arabic" w:hAnsi="Simplified Arabic" w:cs="Simplified Arabic"/>
          <w:sz w:val="28"/>
          <w:szCs w:val="28"/>
          <w:rtl/>
          <w:lang w:bidi="ar-LB"/>
        </w:rPr>
        <w:t xml:space="preserve"> للأنساق الصورية.</w:t>
      </w:r>
    </w:p>
    <w:p w:rsidR="00A73078" w:rsidRPr="00402C99" w:rsidRDefault="00A73078" w:rsidP="00D377C6">
      <w:pPr>
        <w:autoSpaceDE w:val="0"/>
        <w:autoSpaceDN w:val="0"/>
        <w:bidi/>
        <w:adjustRightInd w:val="0"/>
        <w:spacing w:after="0" w:line="240" w:lineRule="auto"/>
        <w:ind w:left="-1" w:right="709"/>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t xml:space="preserve">3.1 </w:t>
      </w:r>
      <w:r w:rsidRPr="00402C99">
        <w:rPr>
          <w:rFonts w:ascii="Simplified Arabic" w:hAnsi="Simplified Arabic" w:cs="Simplified Arabic"/>
          <w:b/>
          <w:bCs/>
          <w:sz w:val="28"/>
          <w:szCs w:val="28"/>
          <w:rtl/>
          <w:lang w:bidi="ar-LB"/>
        </w:rPr>
        <w:t>الخصوصيات:</w:t>
      </w:r>
    </w:p>
    <w:p w:rsidR="00A73078" w:rsidRPr="00402C99" w:rsidRDefault="005166BB"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إنّ خصوصيات اللغة الطبيعية التي تتجلى أساساً في هاتين الإمكانيتين تجعل هذه اللغة تقع في "التباسات" وتولّد عدة "مفارقات"، ذلك أنّ قابلية استخدام كلماتها كمستعملة –</w:t>
      </w:r>
      <w:r w:rsidR="00EF51D6">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أو قل متداولة- من جهة </w:t>
      </w:r>
      <w:r w:rsidR="00A73078" w:rsidRPr="00402C99">
        <w:rPr>
          <w:rFonts w:ascii="Simplified Arabic" w:hAnsi="Simplified Arabic" w:cs="Simplified Arabic"/>
          <w:sz w:val="28"/>
          <w:szCs w:val="28"/>
          <w:rtl/>
          <w:lang w:bidi="ar-LB"/>
        </w:rPr>
        <w:lastRenderedPageBreak/>
        <w:t>ومذكورة من جهة ثانية، كلّ ذلك يقوّي إمكان الخلط بينهما، أو قل قوة الالتباس بين الاستعمال والذكر وبالتالي يتعذّر التمييز بين مستويات لغوية هي مختلفة في الأصل</w:t>
      </w:r>
      <w:r w:rsidR="00A73078" w:rsidRPr="00402C99">
        <w:rPr>
          <w:rFonts w:ascii="Simplified Arabic" w:hAnsi="Simplified Arabic" w:cs="Simplified Arabic"/>
          <w:sz w:val="28"/>
          <w:szCs w:val="28"/>
          <w:vertAlign w:val="superscript"/>
          <w:rtl/>
          <w:lang w:bidi="ar-LB"/>
        </w:rPr>
        <w:footnoteReference w:id="27"/>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إذن هناك اختلافات جوهرية بين اللغة الطبيعية واللغة الصناعية وتتمثل فيما يلي:</w:t>
      </w:r>
    </w:p>
    <w:p w:rsidR="00A73078" w:rsidRPr="00402C99" w:rsidRDefault="00A73078" w:rsidP="00333242">
      <w:pPr>
        <w:numPr>
          <w:ilvl w:val="0"/>
          <w:numId w:val="4"/>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 xml:space="preserve">اللغة الصناعية (الصورية) مستقلة عن الذات والمقام </w:t>
      </w:r>
      <w:r w:rsidRPr="005166BB">
        <w:rPr>
          <w:rFonts w:asciiTheme="majorBidi" w:hAnsiTheme="majorBidi" w:cstheme="majorBidi"/>
          <w:sz w:val="24"/>
          <w:szCs w:val="24"/>
          <w:lang w:val="en-US" w:bidi="ar-LB"/>
        </w:rPr>
        <w:t>le contexte</w:t>
      </w:r>
      <w:r w:rsidRPr="00402C99">
        <w:rPr>
          <w:rFonts w:ascii="Simplified Arabic" w:hAnsi="Simplified Arabic" w:cs="Simplified Arabic"/>
          <w:sz w:val="28"/>
          <w:szCs w:val="28"/>
          <w:rtl/>
          <w:lang w:bidi="ar-LB"/>
        </w:rPr>
        <w:t>، في حين يصعب دراسة تعابير اللغة الطبيعية في استقلالها عن الذات والمقام وعن مكان وزمان الخطاب والتلفظ.</w:t>
      </w:r>
    </w:p>
    <w:p w:rsidR="00A73078" w:rsidRPr="00402C99" w:rsidRDefault="00A73078" w:rsidP="00333242">
      <w:pPr>
        <w:numPr>
          <w:ilvl w:val="0"/>
          <w:numId w:val="4"/>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lang w:val="en-US" w:bidi="ar-LB"/>
        </w:rPr>
      </w:pPr>
      <w:r w:rsidRPr="00402C99">
        <w:rPr>
          <w:rFonts w:ascii="Simplified Arabic" w:hAnsi="Simplified Arabic" w:cs="Simplified Arabic"/>
          <w:sz w:val="28"/>
          <w:szCs w:val="28"/>
          <w:rtl/>
          <w:lang w:bidi="ar-LB"/>
        </w:rPr>
        <w:t>تتوافر اللغة الطبيعية على بنيات متعددة تجعلها تؤدي مجموعة من الوظائف (- دلالية تواصلية – تركيبية - ) التي تنفرد بها وبشكل يستلزم أساليب متعددة للفهم والتأصيل، على عكس اللغة الصناعية التي لا تعتمد إلا على ما هو ظاهر وصريح.</w:t>
      </w:r>
    </w:p>
    <w:p w:rsidR="00A73078" w:rsidRPr="00402C99" w:rsidRDefault="00A73078" w:rsidP="00333242">
      <w:pPr>
        <w:numPr>
          <w:ilvl w:val="0"/>
          <w:numId w:val="4"/>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lang w:val="en-US" w:bidi="ar-LB"/>
        </w:rPr>
      </w:pPr>
      <w:r w:rsidRPr="00402C99">
        <w:rPr>
          <w:rFonts w:ascii="Simplified Arabic" w:hAnsi="Simplified Arabic" w:cs="Simplified Arabic"/>
          <w:sz w:val="28"/>
          <w:szCs w:val="28"/>
          <w:rtl/>
          <w:lang w:bidi="ar-LB"/>
        </w:rPr>
        <w:t>اللغة الصناعية تعتمد على البرهان الذي يعتمد المقدمات اليقينية في حين تستند اللغة الطبيعة إلى أساليب مغايرة في الاستدلال وخاصة الحٍجاج.</w:t>
      </w:r>
    </w:p>
    <w:p w:rsidR="00A73078" w:rsidRPr="00402C99" w:rsidRDefault="00A73078" w:rsidP="00333242">
      <w:pPr>
        <w:numPr>
          <w:ilvl w:val="0"/>
          <w:numId w:val="4"/>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تسمح اللغة الطبيعية بظواهر لسانية معينة مثل التكرار والحشو في الوقت الذي لا تولد فيه اللغة الصناعية سوى تعابير سليمة التركيب، فكل خطاب طبيعي لاينفك عن الغموض والالتباس، على عكس تعابير اللغة الصناعية التي تتميز بالتواطؤ.</w:t>
      </w:r>
      <w:r w:rsidRPr="00402C99">
        <w:rPr>
          <w:rFonts w:ascii="Simplified Arabic" w:hAnsi="Simplified Arabic" w:cs="Simplified Arabic"/>
          <w:sz w:val="28"/>
          <w:szCs w:val="28"/>
          <w:vertAlign w:val="superscript"/>
          <w:rtl/>
          <w:lang w:bidi="ar-LB"/>
        </w:rPr>
        <w:footnoteReference w:id="28"/>
      </w:r>
      <w:r w:rsidRPr="00402C99">
        <w:rPr>
          <w:rFonts w:ascii="Simplified Arabic" w:hAnsi="Simplified Arabic" w:cs="Simplified Arabic"/>
          <w:sz w:val="28"/>
          <w:szCs w:val="28"/>
          <w:rtl/>
          <w:lang w:bidi="ar-LB"/>
        </w:rPr>
        <w:t>ثم إنّ اللغة الصناعية قابلة للوصف وصفاً وافياً ودقيقاً بينما يصعب القيام بذلك فيما يخص اللغة الطبيعية. وعليه فإنّ محاولة صورنة ظواهر اللغة الطبيعية لا يضمن بالضرورة رفع الغموض والالتباس والاشتراك عن تعابيرها، وهو الوضع الذي يعود أصله إلى طبيعة بنية اللغة الطبيعية ذاتها، وكذا الآليات الصورية التي توظفها في تمثيلها وبنائها. وقد أكّدت بعض الدراسات اللسانية أنّ الغموض الدلالي للغة الطبيعية وكذا عدم التحديد اللذان يطبعان بنيتها يحولان دون إمكان وصفها وتمثيلها بواسطة الأنساق الصورية، لكون عملية فهم الخطاب الطبيعي تقضي قراءات متعددة وتأويلات مختلفة تحول أحياناً دون إمكان دراسة الظاهرة اللغوية ب</w:t>
      </w:r>
      <w:r w:rsidR="00EF51D6">
        <w:rPr>
          <w:rFonts w:ascii="Simplified Arabic" w:hAnsi="Simplified Arabic" w:cs="Simplified Arabic"/>
          <w:sz w:val="28"/>
          <w:szCs w:val="28"/>
          <w:rtl/>
          <w:lang w:bidi="ar-LB"/>
        </w:rPr>
        <w:t>شكل واضح وتخريجها تخريجاً كاملا</w:t>
      </w:r>
      <w:r w:rsidRPr="00402C99">
        <w:rPr>
          <w:rFonts w:ascii="Simplified Arabic" w:hAnsi="Simplified Arabic" w:cs="Simplified Arabic"/>
          <w:sz w:val="28"/>
          <w:szCs w:val="28"/>
          <w:vertAlign w:val="superscript"/>
          <w:rtl/>
          <w:lang w:bidi="ar-LB"/>
        </w:rPr>
        <w:footnoteReference w:id="29"/>
      </w:r>
      <w:r w:rsidR="00EF51D6">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b/>
          <w:bCs/>
          <w:sz w:val="28"/>
          <w:szCs w:val="28"/>
          <w:rtl/>
        </w:rPr>
        <w:t xml:space="preserve">2. </w:t>
      </w:r>
      <w:r w:rsidRPr="00402C99">
        <w:rPr>
          <w:rFonts w:ascii="Simplified Arabic" w:hAnsi="Simplified Arabic" w:cs="Simplified Arabic"/>
          <w:b/>
          <w:bCs/>
          <w:sz w:val="28"/>
          <w:szCs w:val="28"/>
          <w:rtl/>
          <w:lang w:bidi="ar-LB"/>
        </w:rPr>
        <w:t>اللغة الطبيعية والبيان:</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t>1.2</w:t>
      </w:r>
      <w:r w:rsidRPr="00402C99">
        <w:rPr>
          <w:rFonts w:ascii="Simplified Arabic" w:hAnsi="Simplified Arabic" w:cs="Simplified Arabic"/>
          <w:b/>
          <w:bCs/>
          <w:sz w:val="28"/>
          <w:szCs w:val="28"/>
          <w:rtl/>
          <w:lang w:bidi="ar-LB"/>
        </w:rPr>
        <w:t>البيان:</w:t>
      </w:r>
    </w:p>
    <w:p w:rsidR="00A73078" w:rsidRPr="00402C99" w:rsidRDefault="005166BB"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إذا كان كلّ نصّ معرفي هو نص لغوي وهو عبارة عن تأليف تحته عمليات تصنيعية مختلفة حيث تتشابك فيه جملة من المضامين الفكرية وتتداخل فيه الأشكال التعبيرية المتنوعة ينتج عن هذا التأليف </w:t>
      </w:r>
      <w:r w:rsidR="00A73078" w:rsidRPr="00402C99">
        <w:rPr>
          <w:rFonts w:ascii="Simplified Arabic" w:hAnsi="Simplified Arabic" w:cs="Simplified Arabic"/>
          <w:sz w:val="28"/>
          <w:szCs w:val="28"/>
          <w:rtl/>
          <w:lang w:bidi="ar-LB"/>
        </w:rPr>
        <w:lastRenderedPageBreak/>
        <w:t>نسيج خطابي واحد مكتوب بأشكال بلاغية خاصة بهذه اللغة الطبيعية الخاصة، فيأتي هذا النص على مقتضى هذا اللسان، والأشكال البلاغية التي كتب على منوالها هذا النص يطلق عليها اسم البيان.</w:t>
      </w:r>
    </w:p>
    <w:p w:rsidR="00A73078" w:rsidRPr="00402C99" w:rsidRDefault="004C29C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والبيان هو وسيلة وآلية تمكّن الإنسان من إبراز المعاني القائمة في الصدور والمختلجة في الأنفس، فيتيح هذا البيان للإنسان أن يكشف عنها ويُيسر له عرضها على الآخرين وفق ما يحدد ماهيتها ويضبط حدود دلالتها. وهو من هذه الناحية اسم جنس يشمل الأنواع التي اعتبرتها البلاغة الإسلامية وسائل إظهار المعنى وإخراجه من طور الكمون بما يسع أفراد المجموعة أن يتداولوه بينهم على الوجه الذي قضت به الحاجة وحملت إليه الإرادة</w:t>
      </w:r>
      <w:r w:rsidR="00A73078" w:rsidRPr="00402C99">
        <w:rPr>
          <w:rFonts w:ascii="Simplified Arabic" w:hAnsi="Simplified Arabic" w:cs="Simplified Arabic"/>
          <w:sz w:val="28"/>
          <w:szCs w:val="28"/>
          <w:vertAlign w:val="superscript"/>
          <w:rtl/>
          <w:lang w:bidi="ar-LB"/>
        </w:rPr>
        <w:footnoteReference w:id="30"/>
      </w:r>
      <w:r w:rsidR="00E01E95">
        <w:rPr>
          <w:rFonts w:ascii="Simplified Arabic" w:hAnsi="Simplified Arabic" w:cs="Simplified Arabic" w:hint="cs"/>
          <w:sz w:val="28"/>
          <w:szCs w:val="28"/>
          <w:rtl/>
        </w:rPr>
        <w:t>.</w:t>
      </w:r>
    </w:p>
    <w:p w:rsidR="00A73078" w:rsidRPr="00402C99" w:rsidRDefault="004C29C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lang w:bidi="ar-LB"/>
        </w:rPr>
        <w:t>فالبيان إذن هو جملة من القواعد المعلومة تحصلها النفس عن طريق كثرة الممارسة والاستعمال لتلك القواعد والتي بواسطتها يستطيع المتكلم أن يؤدي أيّ معنى جزئي يعرض له بعبارات مختلفة في الوضوح مراعياً فروع القواعد عند تأدية هذا المعنى في كلامه وكذلك في كلام غيره، فهو علم يبحث في صور التراكيب من حيث تختلف بها وجوه المعاني أو كما جال في كتب البلاغة هو: "علم يُعرف به إيرادُ المعنى الواحد بطرق مختلفة في وضوح الدلالة عليه"</w:t>
      </w:r>
      <w:r w:rsidR="00A73078" w:rsidRPr="00402C99">
        <w:rPr>
          <w:rFonts w:ascii="Simplified Arabic" w:hAnsi="Simplified Arabic" w:cs="Simplified Arabic"/>
          <w:sz w:val="28"/>
          <w:szCs w:val="28"/>
          <w:vertAlign w:val="superscript"/>
          <w:rtl/>
          <w:lang w:bidi="ar-LB"/>
        </w:rPr>
        <w:footnoteReference w:id="31"/>
      </w:r>
      <w:r w:rsidR="00A73078" w:rsidRPr="00402C99">
        <w:rPr>
          <w:rFonts w:ascii="Simplified Arabic" w:hAnsi="Simplified Arabic" w:cs="Simplified Arabic"/>
          <w:sz w:val="28"/>
          <w:szCs w:val="28"/>
          <w:rtl/>
          <w:lang w:bidi="ar-LB"/>
        </w:rPr>
        <w:t xml:space="preserve"> أي على اللفظ، ذلك أنّ الألفاظ هي سمات دالات على المعاني التي هي أفكار في الأذهان ومشاعر في النفوس حيث وُضعت بين الناس ليُعبر كل إنسان عمّا يخالجه في نفسه من تلك المعاني لغيره من الناس عند الخطاب والسؤال</w:t>
      </w:r>
      <w:r w:rsidR="00A73078" w:rsidRPr="00402C99">
        <w:rPr>
          <w:rFonts w:ascii="Simplified Arabic" w:hAnsi="Simplified Arabic" w:cs="Simplified Arabic"/>
          <w:sz w:val="28"/>
          <w:szCs w:val="28"/>
          <w:vertAlign w:val="superscript"/>
          <w:rtl/>
          <w:lang w:bidi="ar-LB"/>
        </w:rPr>
        <w:footnoteReference w:id="32"/>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وقال الجاحظ: البيان "اسم جامع لكل شيء كشف لك قناع المعنى وهتك الحجاب دون الضمير حتى يفضي السامع إلى حقيقته ويهجم على محصوله كائناً ما كان ذلك البيان [...] فبأيّ شيء بلغت الإفهام وأوضحت عن المعنى فذلك هو البيان في ذلك الموضع"</w:t>
      </w:r>
      <w:r w:rsidR="00A73078" w:rsidRPr="00402C99">
        <w:rPr>
          <w:rFonts w:ascii="Simplified Arabic" w:hAnsi="Simplified Arabic" w:cs="Simplified Arabic"/>
          <w:sz w:val="28"/>
          <w:szCs w:val="28"/>
          <w:vertAlign w:val="superscript"/>
          <w:rtl/>
          <w:lang w:bidi="ar-LB"/>
        </w:rPr>
        <w:footnoteReference w:id="33"/>
      </w:r>
      <w:r w:rsidR="00EF51D6">
        <w:rPr>
          <w:rFonts w:ascii="Simplified Arabic" w:hAnsi="Simplified Arabic" w:cs="Simplified Arabic" w:hint="cs"/>
          <w:sz w:val="28"/>
          <w:szCs w:val="28"/>
          <w:rtl/>
          <w:lang w:bidi="ar-LB"/>
        </w:rPr>
        <w:t>.</w:t>
      </w:r>
    </w:p>
    <w:p w:rsidR="00A73078" w:rsidRPr="00402C99" w:rsidRDefault="005617AD"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EF51D6">
        <w:rPr>
          <w:rFonts w:ascii="Simplified Arabic" w:hAnsi="Simplified Arabic" w:cs="Simplified Arabic" w:hint="cs"/>
          <w:sz w:val="28"/>
          <w:szCs w:val="28"/>
          <w:rtl/>
          <w:lang w:bidi="ar-LB"/>
        </w:rPr>
        <w:t xml:space="preserve"> </w:t>
      </w: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لقد جعل الجاحظ أصناف الدلالات على المعاني لفظية وغير لفظية وحصرها في خمسة أمور لا تنقص ولا تزيد، اللفظ ثم الإشارة ثم العقد ثم الخط ثم الحال</w:t>
      </w:r>
      <w:r w:rsidR="00A73078" w:rsidRPr="00402C99">
        <w:rPr>
          <w:rFonts w:ascii="Simplified Arabic" w:hAnsi="Simplified Arabic" w:cs="Simplified Arabic"/>
          <w:sz w:val="28"/>
          <w:szCs w:val="28"/>
          <w:vertAlign w:val="superscript"/>
          <w:rtl/>
          <w:lang w:bidi="ar-LB"/>
        </w:rPr>
        <w:footnoteReference w:id="34"/>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إلا أنّ النظار وعلماء اللغة جعلوا من الكلام اللساني أهم الأنظمة الدالة وأقدرها على إدراك المعاني لسعة اللغة وترائها وقدرتها الخلاّقة في الإحاطة بالمعاني وعمقها في التعبير عنها وبعدها العملي في التوسل والتداول والتوظيف</w:t>
      </w:r>
      <w:r w:rsidR="00A73078" w:rsidRPr="00402C99">
        <w:rPr>
          <w:rFonts w:ascii="Simplified Arabic" w:hAnsi="Simplified Arabic" w:cs="Simplified Arabic"/>
          <w:sz w:val="28"/>
          <w:szCs w:val="28"/>
          <w:vertAlign w:val="superscript"/>
          <w:rtl/>
          <w:lang w:bidi="ar-LB"/>
        </w:rPr>
        <w:footnoteReference w:id="35"/>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وينقسم البيان إلى قسمين: قسم تكون فيه المعاني حقيقية ومحكمة وصريحة، أما القسم الثاني فتكون المعاني فيه مجازية أو </w:t>
      </w:r>
      <w:r w:rsidR="00A73078" w:rsidRPr="00402C99">
        <w:rPr>
          <w:rFonts w:ascii="Simplified Arabic" w:hAnsi="Simplified Arabic" w:cs="Simplified Arabic"/>
          <w:sz w:val="28"/>
          <w:szCs w:val="28"/>
          <w:rtl/>
          <w:lang w:bidi="ar-LB"/>
        </w:rPr>
        <w:lastRenderedPageBreak/>
        <w:t>مشتبهة أو مضمرة ويمكن أن نطلق عن القسم الأول اسم "العبارة" وعن القسم الثاني اسم "الإشارة" باعتبار أنّ هذين المصطلحين هما كلمتان متداولتان في المجال التداولي الإسلامي.</w:t>
      </w:r>
    </w:p>
    <w:p w:rsidR="00A73078" w:rsidRPr="00402C99" w:rsidRDefault="005617AD"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rPr>
        <w:t>2.2</w:t>
      </w:r>
      <w:r w:rsidR="00A73078" w:rsidRPr="00402C99">
        <w:rPr>
          <w:rFonts w:ascii="Simplified Arabic" w:hAnsi="Simplified Arabic" w:cs="Simplified Arabic"/>
          <w:b/>
          <w:bCs/>
          <w:sz w:val="28"/>
          <w:szCs w:val="28"/>
          <w:rtl/>
          <w:lang w:bidi="ar-LB"/>
        </w:rPr>
        <w:t>العبارة:</w:t>
      </w:r>
    </w:p>
    <w:p w:rsidR="00A73078" w:rsidRPr="00402C99" w:rsidRDefault="005617AD"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العبارة عند أهل البلاغة هي الألفاظ الفصيحة الدالة على المعاني المركبة بتركيب فصيح بليغ</w:t>
      </w:r>
      <w:r w:rsidR="00A73078" w:rsidRPr="00402C99">
        <w:rPr>
          <w:rFonts w:ascii="Simplified Arabic" w:hAnsi="Simplified Arabic" w:cs="Simplified Arabic"/>
          <w:sz w:val="28"/>
          <w:szCs w:val="28"/>
          <w:vertAlign w:val="superscript"/>
          <w:rtl/>
          <w:lang w:bidi="ar-LB"/>
        </w:rPr>
        <w:footnoteReference w:id="36"/>
      </w:r>
      <w:r w:rsidR="00EF51D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أما عند الأصوليين فعبارة النص هي عين النص باعتبار أن النص هو اللفظ المفهوم المعنى، وعين النص أي مطابقته لنفسه، من باب إضافة العام إلى الخاص، فعبارة النص إذن هي لفظ يثبت به حكم سيق الكلام له أو قل هو "النظم المعنوي المسوق له الكلام"</w:t>
      </w:r>
      <w:r w:rsidR="00A73078" w:rsidRPr="00402C99">
        <w:rPr>
          <w:rFonts w:ascii="Simplified Arabic" w:hAnsi="Simplified Arabic" w:cs="Simplified Arabic"/>
          <w:sz w:val="28"/>
          <w:szCs w:val="28"/>
          <w:vertAlign w:val="superscript"/>
          <w:rtl/>
          <w:lang w:bidi="ar-LB"/>
        </w:rPr>
        <w:footnoteReference w:id="37"/>
      </w:r>
      <w:r w:rsidR="00F7291C">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وسُميت بالعبارة لأنّ المستدل يعُبر من النظم إلى المعنى والمتكلم من المعنى إلى النظم فكانت العبارة موضع عبور. إذن هي الإعراب عمّا في النفس او ما في الضمير وقد تكون اسم معنى فيكون معناها الإعراب عما في الضمير، وقد تكون اسم جنس فيكون معناها جملة من الألفاظ المأخوذة على ظاهره والتي يتوسل بها المتكلم لبيان ما في نفسه</w:t>
      </w:r>
      <w:r w:rsidR="00A73078" w:rsidRPr="00402C99">
        <w:rPr>
          <w:rFonts w:ascii="Simplified Arabic" w:hAnsi="Simplified Arabic" w:cs="Simplified Arabic"/>
          <w:sz w:val="28"/>
          <w:szCs w:val="28"/>
          <w:vertAlign w:val="superscript"/>
          <w:rtl/>
          <w:lang w:bidi="ar-LB"/>
        </w:rPr>
        <w:footnoteReference w:id="38"/>
      </w:r>
      <w:r w:rsidR="00F7291C">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t>2.3ا</w:t>
      </w:r>
      <w:r w:rsidRPr="00402C99">
        <w:rPr>
          <w:rFonts w:ascii="Simplified Arabic" w:hAnsi="Simplified Arabic" w:cs="Simplified Arabic"/>
          <w:b/>
          <w:bCs/>
          <w:sz w:val="28"/>
          <w:szCs w:val="28"/>
          <w:rtl/>
          <w:lang w:bidi="ar-LB"/>
        </w:rPr>
        <w:t>لإشارة</w:t>
      </w:r>
      <w:r w:rsidR="005617AD">
        <w:rPr>
          <w:rFonts w:ascii="Simplified Arabic" w:hAnsi="Simplified Arabic" w:cs="Simplified Arabic" w:hint="cs"/>
          <w:b/>
          <w:b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الإشارة قسمان عقلي معنوي وحسي</w:t>
      </w:r>
      <w:r w:rsidRPr="00402C99">
        <w:rPr>
          <w:rFonts w:ascii="Simplified Arabic" w:hAnsi="Simplified Arabic" w:cs="Simplified Arabic"/>
          <w:sz w:val="28"/>
          <w:szCs w:val="28"/>
          <w:vertAlign w:val="superscript"/>
          <w:rtl/>
          <w:lang w:bidi="ar-LB"/>
        </w:rPr>
        <w:footnoteReference w:id="39"/>
      </w:r>
      <w:r w:rsidR="00F7291C">
        <w:rPr>
          <w:rFonts w:ascii="Simplified Arabic" w:hAnsi="Simplified Arabic" w:cs="Simplified Arabic" w:hint="cs"/>
          <w:sz w:val="28"/>
          <w:szCs w:val="28"/>
          <w:rtl/>
          <w:lang w:bidi="ar-LB"/>
        </w:rPr>
        <w:t>:</w:t>
      </w:r>
      <w:r w:rsidRPr="00402C99">
        <w:rPr>
          <w:rFonts w:ascii="Simplified Arabic" w:hAnsi="Simplified Arabic" w:cs="Simplified Arabic"/>
          <w:sz w:val="28"/>
          <w:szCs w:val="28"/>
          <w:rtl/>
          <w:lang w:bidi="ar-LB"/>
        </w:rPr>
        <w:t xml:space="preserve"> فالإشارة الحسية تدل على معنى محسوس وذلك بتعيين الشيء للغير بإحدى الجوارح كاليد أو العين ويطلق على هذه الإشارة الحسية اسم "الإيماء".</w:t>
      </w:r>
    </w:p>
    <w:p w:rsidR="00A73078" w:rsidRPr="00402C99" w:rsidRDefault="005617AD" w:rsidP="005617AD">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أما الإشارة العقلية فهي قسمين: اسم معنى واسم ذات، فإذا كانت اسم معنى فإنه يقصد بها فعل إفادة المخاطب بما في الضمير عن طريق صرف الألفاظ المستعملة عن ظاهرها. وإن كانت اسم ذات فيقصد به جملة الألفاظ المصروفة عن ظاهرها التي يتوسل بها المتكلم لإفادة  ما في الضمير</w:t>
      </w:r>
      <w:r w:rsidR="00A73078" w:rsidRPr="00402C99">
        <w:rPr>
          <w:rFonts w:ascii="Simplified Arabic" w:hAnsi="Simplified Arabic" w:cs="Simplified Arabic"/>
          <w:sz w:val="28"/>
          <w:szCs w:val="28"/>
          <w:vertAlign w:val="superscript"/>
          <w:rtl/>
          <w:lang w:bidi="ar-LB"/>
        </w:rPr>
        <w:footnoteReference w:id="40"/>
      </w: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فالإشارة إذن تضاد العبارة وقد عرّفها النظار بأنها الثابت بنفس الصيغة من غير أن يُساق له الكلام.</w:t>
      </w:r>
      <w:r w:rsidR="00A73078" w:rsidRPr="00402C99">
        <w:rPr>
          <w:rFonts w:ascii="Simplified Arabic" w:hAnsi="Simplified Arabic" w:cs="Simplified Arabic"/>
          <w:sz w:val="28"/>
          <w:szCs w:val="28"/>
          <w:vertAlign w:val="superscript"/>
          <w:rtl/>
          <w:lang w:bidi="ar-LB"/>
        </w:rPr>
        <w:footnoteReference w:id="41"/>
      </w:r>
      <w:r w:rsidR="00A73078" w:rsidRPr="00402C99">
        <w:rPr>
          <w:rFonts w:ascii="Simplified Arabic" w:hAnsi="Simplified Arabic" w:cs="Simplified Arabic"/>
          <w:sz w:val="28"/>
          <w:szCs w:val="28"/>
          <w:rtl/>
          <w:lang w:bidi="ar-LB"/>
        </w:rPr>
        <w:t xml:space="preserve"> وإشارة النص عند الأصوليين هي العمل بما ثبت بنظم الكلام لغة لكنه غير مقصود، ولا سيق له النظم مثل قوله تعالى: </w:t>
      </w:r>
      <w:r w:rsidR="00A73078" w:rsidRPr="00402C99">
        <w:rPr>
          <w:rFonts w:ascii="Simplified Arabic" w:hAnsi="Simplified Arabic" w:cs="Simplified Arabic"/>
          <w:sz w:val="28"/>
          <w:szCs w:val="28"/>
          <w:lang w:val="en-US"/>
        </w:rPr>
        <w:sym w:font="AGA Arabesque" w:char="F029"/>
      </w:r>
      <w:r w:rsidR="00A73078" w:rsidRPr="00402C99">
        <w:rPr>
          <w:rFonts w:ascii="Simplified Arabic" w:hAnsi="Simplified Arabic" w:cs="Simplified Arabic"/>
          <w:sz w:val="28"/>
          <w:szCs w:val="28"/>
          <w:rtl/>
          <w:lang w:bidi="ar-LB"/>
        </w:rPr>
        <w:t>وَعَلَى الْمَوْلُودِ لَهُ رِزْقُهُنَّ وَكِسْوَتُهُنَّ</w:t>
      </w:r>
      <w:r w:rsidR="00A73078" w:rsidRPr="00402C99">
        <w:rPr>
          <w:rFonts w:ascii="Simplified Arabic" w:hAnsi="Simplified Arabic" w:cs="Simplified Arabic"/>
          <w:sz w:val="28"/>
          <w:szCs w:val="28"/>
          <w:vertAlign w:val="superscript"/>
          <w:rtl/>
          <w:lang w:bidi="ar-LB"/>
        </w:rPr>
        <w:footnoteReference w:id="42"/>
      </w:r>
      <w:r w:rsidR="00F7291C">
        <w:rPr>
          <w:rFonts w:ascii="Simplified Arabic" w:hAnsi="Simplified Arabic" w:cs="Simplified Arabic"/>
          <w:sz w:val="28"/>
          <w:szCs w:val="28"/>
          <w:lang w:val="en-US"/>
        </w:rPr>
        <w:t xml:space="preserve"> </w:t>
      </w:r>
      <w:r w:rsidR="00A73078" w:rsidRPr="00402C99">
        <w:rPr>
          <w:rFonts w:ascii="Simplified Arabic" w:hAnsi="Simplified Arabic" w:cs="Simplified Arabic"/>
          <w:sz w:val="28"/>
          <w:szCs w:val="28"/>
          <w:lang w:val="en-US"/>
        </w:rPr>
        <w:sym w:font="AGA Arabesque" w:char="F028"/>
      </w:r>
      <w:r w:rsidR="00A73078" w:rsidRPr="00402C99">
        <w:rPr>
          <w:rFonts w:ascii="Simplified Arabic" w:hAnsi="Simplified Arabic" w:cs="Simplified Arabic"/>
          <w:sz w:val="28"/>
          <w:szCs w:val="28"/>
          <w:rtl/>
          <w:lang w:bidi="ar-LB"/>
        </w:rPr>
        <w:t xml:space="preserve">فسيق الكلام في هذه الآية الكريمة لإثبات النفقة إلا أنّ هناك إشارة إلى أنّ النسب إلى الآباء لقوله تعالى: </w:t>
      </w:r>
      <w:r w:rsidR="00A73078" w:rsidRPr="00402C99">
        <w:rPr>
          <w:rFonts w:ascii="Simplified Arabic" w:hAnsi="Simplified Arabic" w:cs="Simplified Arabic"/>
          <w:sz w:val="28"/>
          <w:szCs w:val="28"/>
          <w:lang w:val="en-US"/>
        </w:rPr>
        <w:sym w:font="AGA Arabesque" w:char="F029"/>
      </w:r>
      <w:r w:rsidR="00A73078" w:rsidRPr="00402C99">
        <w:rPr>
          <w:rFonts w:ascii="Simplified Arabic" w:hAnsi="Simplified Arabic" w:cs="Simplified Arabic"/>
          <w:sz w:val="28"/>
          <w:szCs w:val="28"/>
          <w:rtl/>
          <w:lang w:bidi="ar-LB"/>
        </w:rPr>
        <w:t xml:space="preserve"> الْمَوْلُودِ لَهُ</w:t>
      </w:r>
      <w:r w:rsidR="00A73078" w:rsidRPr="00402C99">
        <w:rPr>
          <w:rFonts w:ascii="Simplified Arabic" w:hAnsi="Simplified Arabic" w:cs="Simplified Arabic"/>
          <w:sz w:val="28"/>
          <w:szCs w:val="28"/>
          <w:lang w:val="en-US"/>
        </w:rPr>
        <w:sym w:font="AGA Arabesque" w:char="F028"/>
      </w:r>
      <w:r w:rsidR="00A73078" w:rsidRPr="00402C99">
        <w:rPr>
          <w:rFonts w:ascii="Simplified Arabic" w:hAnsi="Simplified Arabic" w:cs="Simplified Arabic"/>
          <w:sz w:val="28"/>
          <w:szCs w:val="28"/>
          <w:vertAlign w:val="superscript"/>
          <w:rtl/>
          <w:lang w:bidi="ar-LB"/>
        </w:rPr>
        <w:footnoteReference w:id="43"/>
      </w:r>
      <w:r w:rsidR="00F7291C">
        <w:rPr>
          <w:rFonts w:ascii="Simplified Arabic" w:hAnsi="Simplified Arabic" w:cs="Simplified Arabic" w:hint="cs"/>
          <w:sz w:val="28"/>
          <w:szCs w:val="28"/>
          <w:rtl/>
          <w:lang w:val="en-US"/>
        </w:rPr>
        <w:t xml:space="preserve">. </w:t>
      </w:r>
      <w:r w:rsidR="00A73078" w:rsidRPr="00402C99">
        <w:rPr>
          <w:rFonts w:ascii="Simplified Arabic" w:hAnsi="Simplified Arabic" w:cs="Simplified Arabic"/>
          <w:sz w:val="28"/>
          <w:szCs w:val="28"/>
          <w:rtl/>
          <w:lang w:bidi="ar-LB"/>
        </w:rPr>
        <w:t>فإشارة النص هي "ما عرف بنفس الكلام ولكن بنوع تأمل وضرب تفكير غير أنّه لا يكون مراداً بالإنزال"</w:t>
      </w:r>
      <w:r w:rsidR="00A73078" w:rsidRPr="00402C99">
        <w:rPr>
          <w:rFonts w:ascii="Simplified Arabic" w:hAnsi="Simplified Arabic" w:cs="Simplified Arabic"/>
          <w:sz w:val="28"/>
          <w:szCs w:val="28"/>
          <w:vertAlign w:val="superscript"/>
          <w:rtl/>
          <w:lang w:bidi="ar-LB"/>
        </w:rPr>
        <w:footnoteReference w:id="44"/>
      </w:r>
      <w:r w:rsidR="00F7291C">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lastRenderedPageBreak/>
        <w:t>3.3</w:t>
      </w:r>
      <w:r w:rsidRPr="00402C99">
        <w:rPr>
          <w:rFonts w:ascii="Simplified Arabic" w:hAnsi="Simplified Arabic" w:cs="Simplified Arabic"/>
          <w:b/>
          <w:bCs/>
          <w:sz w:val="28"/>
          <w:szCs w:val="28"/>
          <w:rtl/>
          <w:lang w:bidi="ar-LB"/>
        </w:rPr>
        <w:t>أركان العبارة</w:t>
      </w:r>
      <w:r w:rsidR="005617AD">
        <w:rPr>
          <w:rFonts w:ascii="Simplified Arabic" w:hAnsi="Simplified Arabic" w:cs="Simplified Arabic" w:hint="cs"/>
          <w:b/>
          <w:bCs/>
          <w:sz w:val="28"/>
          <w:szCs w:val="28"/>
          <w:rtl/>
          <w:lang w:bidi="ar-LB"/>
        </w:rPr>
        <w:t>:</w:t>
      </w:r>
    </w:p>
    <w:p w:rsidR="00A73078" w:rsidRPr="00402C99" w:rsidRDefault="005617AD"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إذا كانت العبارة هي القول الذي تُبين بنيتة الظاهرة المعنى الذي أريد منه، فيكون البيان العباري على ثلاثة أركان أو مبادئ: ركن الحقيقة وركن الإحكام، وركن التصريح.</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lang w:bidi="ar-LB"/>
        </w:rPr>
        <w:t>1- ركن الحقيقة: إنّ الكلمات التي تدخل في تركيب العبارة هي كلمات مستعملة في ما وضعت له من المعاني في الأصل وضعاً مطابقاً لما عليه الأشياء في الخارج أو في الذهن</w:t>
      </w:r>
      <w:r w:rsidRPr="00402C99">
        <w:rPr>
          <w:rFonts w:ascii="Simplified Arabic" w:hAnsi="Simplified Arabic" w:cs="Simplified Arabic"/>
          <w:sz w:val="28"/>
          <w:szCs w:val="28"/>
          <w:vertAlign w:val="superscript"/>
          <w:rtl/>
          <w:lang w:bidi="ar-LB"/>
        </w:rPr>
        <w:footnoteReference w:id="45"/>
      </w:r>
      <w:r w:rsidR="00EF285F">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والتطابق هو موافقة اللفظ لمعناه،بمعني أنّ لا يكون اللفظ أخص من المعنى أو أعمّ منه بل يدل على تمام ما وضع له كدلالة "الإنسان" على "الحيوان الناطق"، والبيت على المجموع المركب من حائط وسقف وباب ونافذة</w:t>
      </w:r>
      <w:r w:rsidRPr="00402C99">
        <w:rPr>
          <w:rFonts w:ascii="Simplified Arabic" w:hAnsi="Simplified Arabic" w:cs="Simplified Arabic"/>
          <w:sz w:val="28"/>
          <w:szCs w:val="28"/>
          <w:vertAlign w:val="superscript"/>
          <w:rtl/>
          <w:lang w:bidi="ar-LB"/>
        </w:rPr>
        <w:footnoteReference w:id="46"/>
      </w:r>
      <w:r w:rsidR="00EF285F">
        <w:rPr>
          <w:rFonts w:ascii="Simplified Arabic" w:hAnsi="Simplified Arabic" w:cs="Simplified Arabic" w:hint="cs"/>
          <w:sz w:val="28"/>
          <w:szCs w:val="28"/>
          <w:rtl/>
          <w:lang w:bidi="ar-LB"/>
        </w:rPr>
        <w:t>.</w:t>
      </w:r>
    </w:p>
    <w:p w:rsidR="00A73078" w:rsidRPr="00402C99" w:rsidRDefault="00A73078" w:rsidP="00252EAA">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lang w:bidi="ar-LB"/>
        </w:rPr>
        <w:t>2- ركن الإحكام: المقصود بالإحكام هو أنّ العبارة تفيد في استعمالاتها المتنوعة –إن كانت واردة في مواقع أو كانت دلالة على وقائع- معنىً مشتركاً بينها جميعاً بالسوية وقريباً لا واسطة فيه ومستقراً لا تغيير معه</w:t>
      </w:r>
      <w:r w:rsidRPr="00402C99">
        <w:rPr>
          <w:rFonts w:ascii="Simplified Arabic" w:hAnsi="Simplified Arabic" w:cs="Simplified Arabic"/>
          <w:sz w:val="28"/>
          <w:szCs w:val="28"/>
          <w:vertAlign w:val="superscript"/>
          <w:rtl/>
          <w:lang w:bidi="ar-LB"/>
        </w:rPr>
        <w:footnoteReference w:id="47"/>
      </w:r>
      <w:r w:rsidR="00EF285F">
        <w:rPr>
          <w:rFonts w:ascii="Simplified Arabic" w:hAnsi="Simplified Arabic" w:cs="Simplified Arabic" w:hint="cs"/>
          <w:sz w:val="28"/>
          <w:szCs w:val="28"/>
          <w:rtl/>
          <w:lang w:bidi="ar-LB"/>
        </w:rPr>
        <w:t>.</w:t>
      </w:r>
      <w:r w:rsidRPr="00402C99">
        <w:rPr>
          <w:rFonts w:ascii="Simplified Arabic" w:hAnsi="Simplified Arabic" w:cs="Simplified Arabic"/>
          <w:sz w:val="28"/>
          <w:szCs w:val="28"/>
          <w:rtl/>
          <w:lang w:bidi="ar-LB"/>
        </w:rPr>
        <w:t xml:space="preserve"> والمحكم في اللغة اسم مفعول من الإحكام، فالعرب تقول حكمت وأحكمت، وحكمت بمعنى رَدَدّتُ ومنعتُ، والحاكم يمنع الظالم عن الظلم، وحكمة اللجام في منع الفرس عن الاضطراب وقولك أحكموا السفهاء أي امنعوهم. وبناء محكم أي وثيق يمنع من تعرض له وسُميت الحكمة حكمة لأنها تمنع صاحبها والمتصف بها عما لا يليق به</w:t>
      </w:r>
      <w:r w:rsidRPr="00402C99">
        <w:rPr>
          <w:rFonts w:ascii="Simplified Arabic" w:hAnsi="Simplified Arabic" w:cs="Simplified Arabic"/>
          <w:sz w:val="28"/>
          <w:szCs w:val="28"/>
          <w:vertAlign w:val="superscript"/>
          <w:rtl/>
          <w:lang w:bidi="ar-LB"/>
        </w:rPr>
        <w:footnoteReference w:id="48"/>
      </w:r>
      <w:r w:rsidR="00252EAA">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والإحكام عند الأصوليين هو ما أحكم المراد به عن التبديل والتغيير</w:t>
      </w:r>
      <w:r w:rsidRPr="00402C99">
        <w:rPr>
          <w:rFonts w:ascii="Simplified Arabic" w:hAnsi="Simplified Arabic" w:cs="Simplified Arabic"/>
          <w:sz w:val="28"/>
          <w:szCs w:val="28"/>
          <w:vertAlign w:val="superscript"/>
          <w:rtl/>
          <w:lang w:bidi="ar-LB"/>
        </w:rPr>
        <w:footnoteReference w:id="49"/>
      </w:r>
      <w:r w:rsidR="00EF285F">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وما لا يحتمل من التأويل إلا وجهاً واحداً،</w:t>
      </w:r>
      <w:r w:rsidRPr="00402C99">
        <w:rPr>
          <w:rFonts w:ascii="Simplified Arabic" w:hAnsi="Simplified Arabic" w:cs="Simplified Arabic"/>
          <w:sz w:val="28"/>
          <w:szCs w:val="28"/>
          <w:vertAlign w:val="superscript"/>
          <w:rtl/>
          <w:lang w:bidi="ar-LB"/>
        </w:rPr>
        <w:footnoteReference w:id="50"/>
      </w:r>
      <w:r w:rsidRPr="00402C99">
        <w:rPr>
          <w:rFonts w:ascii="Simplified Arabic" w:hAnsi="Simplified Arabic" w:cs="Simplified Arabic"/>
          <w:sz w:val="28"/>
          <w:szCs w:val="28"/>
          <w:rtl/>
          <w:lang w:bidi="ar-LB"/>
        </w:rPr>
        <w:t>أي حمل اللفظ على معناه الراجح</w:t>
      </w:r>
      <w:r w:rsidRPr="00402C99">
        <w:rPr>
          <w:rFonts w:ascii="Simplified Arabic" w:hAnsi="Simplified Arabic" w:cs="Simplified Arabic"/>
          <w:sz w:val="28"/>
          <w:szCs w:val="28"/>
          <w:vertAlign w:val="superscript"/>
          <w:rtl/>
          <w:lang w:bidi="ar-LB"/>
        </w:rPr>
        <w:footnoteReference w:id="51"/>
      </w:r>
      <w:r w:rsidR="00EF285F">
        <w:rPr>
          <w:rFonts w:ascii="Simplified Arabic" w:hAnsi="Simplified Arabic" w:cs="Simplified Arabic" w:hint="cs"/>
          <w:sz w:val="28"/>
          <w:szCs w:val="28"/>
          <w:rtl/>
          <w:lang w:bidi="ar-LB"/>
        </w:rPr>
        <w:t>،</w:t>
      </w:r>
      <w:r w:rsidRPr="00402C99">
        <w:rPr>
          <w:rFonts w:ascii="Simplified Arabic" w:hAnsi="Simplified Arabic" w:cs="Simplified Arabic"/>
          <w:sz w:val="28"/>
          <w:szCs w:val="28"/>
          <w:rtl/>
          <w:lang w:bidi="ar-LB"/>
        </w:rPr>
        <w:t xml:space="preserve"> وهو أيضاً ما استقل بنفسه عن غيره</w:t>
      </w:r>
      <w:r w:rsidRPr="00402C99">
        <w:rPr>
          <w:rFonts w:ascii="Simplified Arabic" w:hAnsi="Simplified Arabic" w:cs="Simplified Arabic"/>
          <w:sz w:val="28"/>
          <w:szCs w:val="28"/>
          <w:vertAlign w:val="superscript"/>
          <w:rtl/>
          <w:lang w:bidi="ar-LB"/>
        </w:rPr>
        <w:footnoteReference w:id="52"/>
      </w:r>
      <w:r w:rsidR="00EF285F">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أي لا يُحتاج في معرفته إلى الرجوع إلى غيره من المحكمات.</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 xml:space="preserve">3- ركن التصريح: هو ما تمّ توضيحه بواضح قاطع لا لبس فيه وذلك ببسط وجلاء قدْرٍ كاف من الألفاظ والتراكيب التي يقتضيها تمام المعنى المبلغ، فالصريح إذن هو ما ظهر المراد منه ظهوراً تاماً بسبب كثرة </w:t>
      </w:r>
      <w:r w:rsidRPr="00402C99">
        <w:rPr>
          <w:rFonts w:ascii="Simplified Arabic" w:hAnsi="Simplified Arabic" w:cs="Simplified Arabic"/>
          <w:sz w:val="28"/>
          <w:szCs w:val="28"/>
          <w:rtl/>
          <w:lang w:bidi="ar-LB"/>
        </w:rPr>
        <w:lastRenderedPageBreak/>
        <w:t>الاستعمال</w:t>
      </w:r>
      <w:r w:rsidRPr="00402C99">
        <w:rPr>
          <w:rFonts w:ascii="Simplified Arabic" w:hAnsi="Simplified Arabic" w:cs="Simplified Arabic"/>
          <w:sz w:val="28"/>
          <w:szCs w:val="28"/>
          <w:vertAlign w:val="superscript"/>
          <w:rtl/>
          <w:lang w:bidi="ar-LB"/>
        </w:rPr>
        <w:footnoteReference w:id="53"/>
      </w:r>
      <w:r w:rsidR="00EF285F">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والتصريح هو ما عبر عنه الأصوليون بالظاهر وعرفه اللغويون كالآتي: "ظهر الشيء بمعنى تبين، وأظهرت الشيء بيّنته، والظهور بَدْو الشيء الخفي" وعرفه الآمدي</w:t>
      </w:r>
      <w:r w:rsidRPr="00402C99">
        <w:rPr>
          <w:rFonts w:ascii="Simplified Arabic" w:hAnsi="Simplified Arabic" w:cs="Simplified Arabic"/>
          <w:sz w:val="28"/>
          <w:szCs w:val="28"/>
          <w:vertAlign w:val="superscript"/>
          <w:rtl/>
          <w:lang w:bidi="ar-LB"/>
        </w:rPr>
        <w:footnoteReference w:id="54"/>
      </w:r>
      <w:r w:rsidR="00EF285F">
        <w:rPr>
          <w:rFonts w:ascii="Simplified Arabic" w:hAnsi="Simplified Arabic" w:cs="Simplified Arabic" w:hint="cs"/>
          <w:sz w:val="28"/>
          <w:szCs w:val="28"/>
          <w:rtl/>
          <w:lang w:bidi="ar-LB"/>
        </w:rPr>
        <w:t xml:space="preserve"> </w:t>
      </w:r>
      <w:r w:rsidRPr="00402C99">
        <w:rPr>
          <w:rFonts w:ascii="Simplified Arabic" w:hAnsi="Simplified Arabic" w:cs="Simplified Arabic"/>
          <w:sz w:val="28"/>
          <w:szCs w:val="28"/>
          <w:rtl/>
          <w:lang w:bidi="ar-LB"/>
        </w:rPr>
        <w:t>بأنه "ما دلّ على معنى بالوضع الأصلي أو العرفي ويحتمل غيره احتمالاً مرجوجاً". فالظاهر هو المعنى الأصلي المتبادر.</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sidRPr="00402C99">
        <w:rPr>
          <w:rFonts w:ascii="Simplified Arabic" w:hAnsi="Simplified Arabic" w:cs="Simplified Arabic"/>
          <w:sz w:val="28"/>
          <w:szCs w:val="28"/>
          <w:rtl/>
          <w:lang w:bidi="ar-LB"/>
        </w:rPr>
        <w:t>فمبدأ التصريح في العبارة هي أن تبسط كل واحدة من الألفاظ والتراكيب الضرورية لإفادة المقصود منها على اعتبار أنّ هذه الكلمات والصيغ جلية لا خفاء فيها ووضاحة لا لُبسَ فيها</w:t>
      </w:r>
      <w:r w:rsidRPr="00402C99">
        <w:rPr>
          <w:rFonts w:ascii="Simplified Arabic" w:hAnsi="Simplified Arabic" w:cs="Simplified Arabic"/>
          <w:sz w:val="28"/>
          <w:szCs w:val="28"/>
          <w:vertAlign w:val="superscript"/>
          <w:rtl/>
          <w:lang w:bidi="ar-LB"/>
        </w:rPr>
        <w:footnoteReference w:id="55"/>
      </w:r>
      <w:r w:rsidR="00EF285F">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sz w:val="28"/>
          <w:szCs w:val="28"/>
          <w:rtl/>
        </w:rPr>
        <w:t>4.3</w:t>
      </w:r>
      <w:r w:rsidRPr="00402C99">
        <w:rPr>
          <w:rFonts w:ascii="Simplified Arabic" w:hAnsi="Simplified Arabic" w:cs="Simplified Arabic"/>
          <w:b/>
          <w:bCs/>
          <w:sz w:val="28"/>
          <w:szCs w:val="28"/>
          <w:rtl/>
          <w:lang w:bidi="ar-LB"/>
        </w:rPr>
        <w:t>أركان الإشارة:</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bookmarkStart w:id="7" w:name="_Hlk73033664"/>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إذا علمنا أنّ العبارة هي قول حقيقي ومحكم ومصرح به، فقد لزم أن تكون الإشارة قولاً غير حقيقي أو غير محكم أو غير مصرح به، فهي القول الذي تُبين بنيتهُ غير الظاهرة أي المقدرة، المعنى الذي أريد منه، بحيث يكون البيان الإشاري مبنياً على ثلاثة أركان: المجاز والاشتباه والإضمار.</w:t>
      </w:r>
      <w:r w:rsidR="00A73078" w:rsidRPr="00402C99">
        <w:rPr>
          <w:rFonts w:ascii="Simplified Arabic" w:hAnsi="Simplified Arabic" w:cs="Simplified Arabic"/>
          <w:sz w:val="28"/>
          <w:szCs w:val="28"/>
          <w:vertAlign w:val="superscript"/>
          <w:rtl/>
          <w:lang w:bidi="ar-LB"/>
        </w:rPr>
        <w:footnoteReference w:id="56"/>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b/>
          <w:bCs/>
          <w:sz w:val="28"/>
          <w:szCs w:val="28"/>
          <w:rtl/>
          <w:lang w:bidi="ar-LB"/>
        </w:rPr>
        <w:t>الركن الأول: المجاز</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المجاز لغة من أجاز الموضع أي خلفه وقطعه</w:t>
      </w:r>
      <w:r w:rsidR="00A73078" w:rsidRPr="00402C99">
        <w:rPr>
          <w:rFonts w:ascii="Simplified Arabic" w:hAnsi="Simplified Arabic" w:cs="Simplified Arabic"/>
          <w:sz w:val="28"/>
          <w:szCs w:val="28"/>
          <w:vertAlign w:val="superscript"/>
          <w:rtl/>
          <w:lang w:bidi="ar-LB"/>
        </w:rPr>
        <w:footnoteReference w:id="57"/>
      </w:r>
      <w:r w:rsidR="0038105F">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وجاء في الإحكام في أصول الأحكام: "الانتقال من حال إلى حال، وفي الاصطلاح انتقال اللفظ من جهة الحقيقة إلى غيرها"</w:t>
      </w:r>
      <w:r w:rsidR="00A73078" w:rsidRPr="00402C99">
        <w:rPr>
          <w:rFonts w:ascii="Simplified Arabic" w:hAnsi="Simplified Arabic" w:cs="Simplified Arabic"/>
          <w:sz w:val="28"/>
          <w:szCs w:val="28"/>
          <w:vertAlign w:val="superscript"/>
          <w:rtl/>
          <w:lang w:bidi="ar-LB"/>
        </w:rPr>
        <w:footnoteReference w:id="58"/>
      </w:r>
      <w:r w:rsidR="0038105F">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وهو كالحقيقة: لغوي وهو اللفظ المستعمل في غير ما وضع له لعلاقة وقرينة لغوية كاستعمال المشرع لفظ الإنسان على الناطق فقط، فالمجاز يثبت المعنى المستعمل في غير ما وضع له اللفظ، وأن تكون الألفاظ التي تدخل في تركيب الإشارة مستعملة في غير ما وضعت له في الأصل من المعاني فالإشارة إذن لا تنفك عن قرينة تتصل بسياق الكلام أو بمقامه، وهي التي تنبه على مراد المتكلم منها كما أنّ للإشارة معنى ظاهراً لا يكون هو في الغالب مراداً ومعنى غير ظاهر يكون هو المراد. إذن تقوم مجازية القول الإشاري في كون  معناه لا يطابق ظاهر لفظه ولا يستقل عن مقام الكلام</w:t>
      </w:r>
      <w:r w:rsidR="00A73078" w:rsidRPr="00402C99">
        <w:rPr>
          <w:rFonts w:ascii="Simplified Arabic" w:hAnsi="Simplified Arabic" w:cs="Simplified Arabic"/>
          <w:sz w:val="28"/>
          <w:szCs w:val="28"/>
          <w:vertAlign w:val="superscript"/>
          <w:rtl/>
          <w:lang w:bidi="ar-LB"/>
        </w:rPr>
        <w:footnoteReference w:id="59"/>
      </w:r>
      <w:r w:rsidR="0038105F">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b/>
          <w:bCs/>
          <w:sz w:val="28"/>
          <w:szCs w:val="28"/>
          <w:rtl/>
          <w:lang w:bidi="ar-LB"/>
        </w:rPr>
        <w:t>الركن الثاني: الاشتباه</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"من شبَّهَ عليه خلّط عليه الأمر حتى اشتبه بغيره"</w:t>
      </w:r>
      <w:r w:rsidR="00A73078" w:rsidRPr="00402C99">
        <w:rPr>
          <w:rFonts w:ascii="Simplified Arabic" w:hAnsi="Simplified Arabic" w:cs="Simplified Arabic"/>
          <w:sz w:val="28"/>
          <w:szCs w:val="28"/>
          <w:vertAlign w:val="superscript"/>
          <w:rtl/>
          <w:lang w:bidi="ar-LB"/>
        </w:rPr>
        <w:footnoteReference w:id="60"/>
      </w:r>
      <w:r w:rsidR="0038105F">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فالكلام المشتبه هو الذي يحتمل الشيء وخلافه</w:t>
      </w:r>
      <w:r w:rsidR="00A73078" w:rsidRPr="00402C99">
        <w:rPr>
          <w:rFonts w:ascii="Simplified Arabic" w:hAnsi="Simplified Arabic" w:cs="Simplified Arabic"/>
          <w:sz w:val="28"/>
          <w:szCs w:val="28"/>
          <w:vertAlign w:val="superscript"/>
          <w:rtl/>
          <w:lang w:bidi="ar-LB"/>
        </w:rPr>
        <w:footnoteReference w:id="61"/>
      </w:r>
      <w:r w:rsidR="0038105F">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أي أن يكون أحد الشيئين مشابهاً للآخر بحيث يعجز الذهن عن التمييز بينهما، فيحمل اللفظ على معنى غير راجح وهو عكس المُحكم الذي يُحمل به اللفظ على المعنى الراجح</w:t>
      </w:r>
      <w:r w:rsidR="00A73078" w:rsidRPr="00402C99">
        <w:rPr>
          <w:rFonts w:ascii="Simplified Arabic" w:hAnsi="Simplified Arabic" w:cs="Simplified Arabic"/>
          <w:sz w:val="28"/>
          <w:szCs w:val="28"/>
          <w:vertAlign w:val="superscript"/>
          <w:rtl/>
          <w:lang w:bidi="ar-LB"/>
        </w:rPr>
        <w:footnoteReference w:id="62"/>
      </w:r>
      <w:r w:rsidR="0038105F">
        <w:rPr>
          <w:rFonts w:ascii="Simplified Arabic" w:hAnsi="Simplified Arabic" w:cs="Simplified Arabic" w:hint="cs"/>
          <w:sz w:val="28"/>
          <w:szCs w:val="28"/>
          <w:rtl/>
          <w:lang w:bidi="ar-LB"/>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lastRenderedPageBreak/>
        <w:t xml:space="preserve">  </w:t>
      </w:r>
      <w:r w:rsidR="00A73078" w:rsidRPr="00402C99">
        <w:rPr>
          <w:rFonts w:ascii="Simplified Arabic" w:hAnsi="Simplified Arabic" w:cs="Simplified Arabic"/>
          <w:sz w:val="28"/>
          <w:szCs w:val="28"/>
          <w:rtl/>
          <w:lang w:bidi="ar-LB"/>
        </w:rPr>
        <w:t xml:space="preserve">فالمشتبه جُعل على صفة تشتبه على المتلقي –لكونه عليها المراد به- من حيث خرج ظاهرهُ عن أن يدل على المراد به لشيء يرجع إلى اللغة أو العرف، فقوله تعالى: </w:t>
      </w:r>
      <w:r w:rsidR="00A73078" w:rsidRPr="00402C99">
        <w:rPr>
          <w:rFonts w:ascii="Simplified Arabic" w:hAnsi="Simplified Arabic" w:cs="Simplified Arabic"/>
          <w:sz w:val="28"/>
          <w:szCs w:val="28"/>
          <w:lang w:val="en-US"/>
        </w:rPr>
        <w:sym w:font="AGA Arabesque" w:char="F029"/>
      </w:r>
      <w:r w:rsidR="00A73078" w:rsidRPr="00402C99">
        <w:rPr>
          <w:rFonts w:ascii="Simplified Arabic" w:hAnsi="Simplified Arabic" w:cs="Simplified Arabic"/>
          <w:sz w:val="28"/>
          <w:szCs w:val="28"/>
          <w:rtl/>
          <w:lang w:bidi="ar-LB"/>
        </w:rPr>
        <w:t>إِنَّ الَّذِينَ يُؤْذُونَ اللَّهَ</w:t>
      </w:r>
      <w:r w:rsidR="00DC1256">
        <w:rPr>
          <w:rFonts w:ascii="Simplified Arabic" w:hAnsi="Simplified Arabic" w:cs="Simplified Arabic" w:hint="cs"/>
          <w:sz w:val="28"/>
          <w:szCs w:val="28"/>
          <w:rtl/>
          <w:lang w:bidi="ar-LB"/>
        </w:rPr>
        <w:t xml:space="preserve"> </w:t>
      </w:r>
      <w:r w:rsidR="0038105F">
        <w:rPr>
          <w:rFonts w:ascii="Simplified Arabic" w:hAnsi="Simplified Arabic" w:cs="Simplified Arabic"/>
          <w:sz w:val="28"/>
          <w:szCs w:val="28"/>
          <w:lang w:val="en-US"/>
        </w:rPr>
        <w:t xml:space="preserve"> </w:t>
      </w:r>
      <w:r w:rsidR="00A73078" w:rsidRPr="00402C99">
        <w:rPr>
          <w:rFonts w:ascii="Simplified Arabic" w:hAnsi="Simplified Arabic" w:cs="Simplified Arabic"/>
          <w:sz w:val="28"/>
          <w:szCs w:val="28"/>
          <w:lang w:val="en-US"/>
        </w:rPr>
        <w:sym w:font="AGA Arabesque" w:char="F028"/>
      </w:r>
      <w:r w:rsidR="00A73078" w:rsidRPr="00402C99">
        <w:rPr>
          <w:rFonts w:ascii="Simplified Arabic" w:hAnsi="Simplified Arabic" w:cs="Simplified Arabic"/>
          <w:sz w:val="28"/>
          <w:szCs w:val="28"/>
          <w:vertAlign w:val="superscript"/>
          <w:lang w:val="en-US"/>
        </w:rPr>
        <w:footnoteReference w:id="63"/>
      </w:r>
      <w:r w:rsidR="00A73078" w:rsidRPr="00402C99">
        <w:rPr>
          <w:rFonts w:ascii="Simplified Arabic" w:hAnsi="Simplified Arabic" w:cs="Simplified Arabic"/>
          <w:sz w:val="28"/>
          <w:szCs w:val="28"/>
          <w:rtl/>
          <w:lang w:bidi="ar-LB"/>
        </w:rPr>
        <w:t>ظاهرهُ يقتضي أنّ الله تعالى يُؤذَى وهذا محالُ –</w:t>
      </w:r>
      <w:r w:rsidR="00DC1256">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سبحانه وتعالى- فالمراد به مشتبه ويحتاج في معرفته إلى الرجوع إلى غيره من المحكمات</w:t>
      </w:r>
      <w:r w:rsidR="00A73078" w:rsidRPr="00402C99">
        <w:rPr>
          <w:rFonts w:ascii="Simplified Arabic" w:hAnsi="Simplified Arabic" w:cs="Simplified Arabic"/>
          <w:sz w:val="28"/>
          <w:szCs w:val="28"/>
          <w:vertAlign w:val="superscript"/>
          <w:rtl/>
          <w:lang w:bidi="ar-LB"/>
        </w:rPr>
        <w:footnoteReference w:id="64"/>
      </w:r>
      <w:r w:rsidR="00DC1256">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وعليه فإنّ مبدأ الاشتباه يعني أن لا تختلف معاني الإشارة باختلاف سياقات استعمالها فحسب بل أن تحتمل التردد بين معانٍ متقابلة في السياق الاستعمالي الواحد ولا يتعين واحد منها إلا بواسطة غير إشارية. فالإشارة تحتمل معانٍ عدة قد لا يترجح بعضها على</w:t>
      </w:r>
      <w:r w:rsidR="00DC1256">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بعض كما أنّ المُلقي بالإشارة لا يعْبُرُ المعنى المقصود إلى لفظها وتركيبها، كما أنّ المتلقي للإشارة لا يعبرُ من لفظها وتركيبها إلى هذا المعنى، بل كلاهما يحتاج في انتقاله بين لفظ الإشارة ومعناها إلى التوسل بالعبارة</w:t>
      </w:r>
      <w:r w:rsidR="00A73078" w:rsidRPr="00402C99">
        <w:rPr>
          <w:rFonts w:ascii="Simplified Arabic" w:hAnsi="Simplified Arabic" w:cs="Simplified Arabic"/>
          <w:sz w:val="28"/>
          <w:szCs w:val="28"/>
          <w:vertAlign w:val="superscript"/>
          <w:rtl/>
          <w:lang w:bidi="ar-LB"/>
        </w:rPr>
        <w:footnoteReference w:id="65"/>
      </w:r>
      <w:r w:rsidR="00DC1256">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b/>
          <w:bCs/>
          <w:sz w:val="28"/>
          <w:szCs w:val="28"/>
          <w:rtl/>
          <w:lang w:bidi="ar-LB"/>
        </w:rPr>
        <w:t>الركن الثالث: الإضمار</w:t>
      </w:r>
    </w:p>
    <w:p w:rsidR="00A73078" w:rsidRPr="00252EAA" w:rsidRDefault="00252EAA" w:rsidP="00252EAA">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الإضمار هو الإخفاء والاستتار بمعنى كتم الشيء وإخفاؤه وهو عكس التصريح والإظهار، فإذا كانت العبارة تتجه إلى بسط الألفاظ والتراكيب فإنّ الإشارة تختصر من الألفاظ والتراكيب ما تتوفر عليه أدلة من سياق الكلام أو مقامه. ثم إذا كانت العبارة تسعى وتهدف إلى الجلاء والتظهير في الألفاظ والتراكيب فإنّ الإشارة تجيزُ الخفاء في ما أبقت عليه من الألفاظ والتراكيب</w:t>
      </w:r>
      <w:r w:rsidR="00A73078" w:rsidRPr="00402C99">
        <w:rPr>
          <w:rFonts w:ascii="Simplified Arabic" w:hAnsi="Simplified Arabic" w:cs="Simplified Arabic"/>
          <w:sz w:val="28"/>
          <w:szCs w:val="28"/>
          <w:vertAlign w:val="superscript"/>
          <w:rtl/>
          <w:lang w:bidi="ar-LB"/>
        </w:rPr>
        <w:footnoteReference w:id="66"/>
      </w: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فالإشارة تتضمن من الألفاظ والتراكيب القدر الذي يحصل به إدراك مدلولها مع التعويل على المعارف والمعتقدات والأعراف المشتركة بين المتخاطبين ومع استثمار القرائن السياقية والمقامية، كما أنّ إبدال لفظ أو تركيب في الإشارة مكان لفظ أو تركيب يكافئهما مسمّى يؤثر في مدلولها ويغيّر قيمتها</w:t>
      </w:r>
      <w:r w:rsidR="00A73078" w:rsidRPr="00402C99">
        <w:rPr>
          <w:rFonts w:ascii="Simplified Arabic" w:hAnsi="Simplified Arabic" w:cs="Simplified Arabic"/>
          <w:sz w:val="28"/>
          <w:szCs w:val="28"/>
          <w:vertAlign w:val="superscript"/>
          <w:rtl/>
          <w:lang w:bidi="ar-LB"/>
        </w:rPr>
        <w:footnoteReference w:id="67"/>
      </w:r>
      <w:r w:rsidR="00DC1256">
        <w:rPr>
          <w:rFonts w:ascii="Simplified Arabic" w:hAnsi="Simplified Arabic" w:cs="Simplified Arabic" w:hint="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bookmarkStart w:id="8" w:name="_Hlk73034288"/>
      <w:bookmarkEnd w:id="7"/>
      <w:r w:rsidRPr="00402C99">
        <w:rPr>
          <w:rFonts w:ascii="Simplified Arabic" w:hAnsi="Simplified Arabic" w:cs="Simplified Arabic"/>
          <w:b/>
          <w:bCs/>
          <w:sz w:val="28"/>
          <w:szCs w:val="28"/>
          <w:rtl/>
        </w:rPr>
        <w:t xml:space="preserve">3. </w:t>
      </w:r>
      <w:r w:rsidRPr="00402C99">
        <w:rPr>
          <w:rFonts w:ascii="Simplified Arabic" w:hAnsi="Simplified Arabic" w:cs="Simplified Arabic"/>
          <w:b/>
          <w:bCs/>
          <w:sz w:val="28"/>
          <w:szCs w:val="28"/>
          <w:rtl/>
          <w:lang w:bidi="ar-LB"/>
        </w:rPr>
        <w:t>اللغة الطبيعية والمنطق:</w:t>
      </w:r>
    </w:p>
    <w:bookmarkEnd w:id="8"/>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1.3</w:t>
      </w:r>
      <w:r w:rsidRPr="00402C99">
        <w:rPr>
          <w:rFonts w:ascii="Simplified Arabic" w:hAnsi="Simplified Arabic" w:cs="Simplified Arabic"/>
          <w:b/>
          <w:bCs/>
          <w:sz w:val="28"/>
          <w:szCs w:val="28"/>
          <w:rtl/>
          <w:lang w:bidi="ar-LB"/>
        </w:rPr>
        <w:t>أطوار المنطق:</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لقد حمل ابن حزم لفظ "البيان" الذي جاء في الآية الكريمة لسورة الرحمن: </w:t>
      </w:r>
      <w:r w:rsidR="00A73078" w:rsidRPr="00402C99">
        <w:rPr>
          <w:rFonts w:ascii="Simplified Arabic" w:hAnsi="Simplified Arabic" w:cs="Simplified Arabic"/>
          <w:sz w:val="28"/>
          <w:szCs w:val="28"/>
          <w:lang w:val="en-US"/>
        </w:rPr>
        <w:sym w:font="AGA Arabesque" w:char="F029"/>
      </w:r>
      <w:r w:rsidR="00A73078" w:rsidRPr="00402C99">
        <w:rPr>
          <w:rFonts w:ascii="Simplified Arabic" w:hAnsi="Simplified Arabic" w:cs="Simplified Arabic"/>
          <w:sz w:val="28"/>
          <w:szCs w:val="28"/>
          <w:rtl/>
          <w:lang w:bidi="ar-LB"/>
        </w:rPr>
        <w:t>خَلَقَ الْأِنْسَانَ . عَلَّمَهُ الْبَيَانَ</w:t>
      </w:r>
      <w:r w:rsidR="00A73078" w:rsidRPr="00402C99">
        <w:rPr>
          <w:rFonts w:ascii="Simplified Arabic" w:hAnsi="Simplified Arabic" w:cs="Simplified Arabic"/>
          <w:sz w:val="28"/>
          <w:szCs w:val="28"/>
          <w:lang w:val="en-US"/>
        </w:rPr>
        <w:sym w:font="AGA Arabesque" w:char="F028"/>
      </w:r>
      <w:r w:rsidR="00A73078" w:rsidRPr="00402C99">
        <w:rPr>
          <w:rFonts w:ascii="Simplified Arabic" w:hAnsi="Simplified Arabic" w:cs="Simplified Arabic"/>
          <w:sz w:val="28"/>
          <w:szCs w:val="28"/>
          <w:vertAlign w:val="superscript"/>
          <w:rtl/>
          <w:lang w:bidi="ar-LB"/>
        </w:rPr>
        <w:footnoteReference w:id="68"/>
      </w:r>
      <w:r w:rsidR="00A73078" w:rsidRPr="00402C99">
        <w:rPr>
          <w:rFonts w:ascii="Simplified Arabic" w:hAnsi="Simplified Arabic" w:cs="Simplified Arabic"/>
          <w:sz w:val="28"/>
          <w:szCs w:val="28"/>
          <w:rtl/>
          <w:lang w:bidi="ar-LB"/>
        </w:rPr>
        <w:t xml:space="preserve"> على معنى اللسان ومعنى المنطق،</w:t>
      </w:r>
      <w:r w:rsidR="00A73078" w:rsidRPr="00402C99">
        <w:rPr>
          <w:rFonts w:ascii="Simplified Arabic" w:hAnsi="Simplified Arabic" w:cs="Simplified Arabic"/>
          <w:sz w:val="28"/>
          <w:szCs w:val="28"/>
          <w:vertAlign w:val="superscript"/>
          <w:rtl/>
          <w:lang w:bidi="ar-LB"/>
        </w:rPr>
        <w:footnoteReference w:id="69"/>
      </w:r>
      <w:r w:rsidR="00A73078" w:rsidRPr="00402C99">
        <w:rPr>
          <w:rFonts w:ascii="Simplified Arabic" w:hAnsi="Simplified Arabic" w:cs="Simplified Arabic"/>
          <w:sz w:val="28"/>
          <w:szCs w:val="28"/>
          <w:rtl/>
          <w:lang w:bidi="ar-LB"/>
        </w:rPr>
        <w:t xml:space="preserve">ويعتبر هذا العمل قمة في الفطنة، لارتباط المنطق باللغة منذ </w:t>
      </w:r>
      <w:r w:rsidR="00A73078" w:rsidRPr="00402C99">
        <w:rPr>
          <w:rFonts w:ascii="Simplified Arabic" w:hAnsi="Simplified Arabic" w:cs="Simplified Arabic"/>
          <w:sz w:val="28"/>
          <w:szCs w:val="28"/>
          <w:rtl/>
          <w:lang w:bidi="ar-LB"/>
        </w:rPr>
        <w:lastRenderedPageBreak/>
        <w:t xml:space="preserve">نشأة هذا العلم، ولا عجب في ذلك إذا علمنا أنّ اليونان استعملوا كلمة "لوغوس" </w:t>
      </w:r>
      <w:r w:rsidR="00A73078" w:rsidRPr="00402C99">
        <w:rPr>
          <w:rFonts w:ascii="Simplified Arabic" w:hAnsi="Simplified Arabic" w:cs="Simplified Arabic"/>
          <w:sz w:val="28"/>
          <w:szCs w:val="28"/>
          <w:lang w:val="en-US"/>
        </w:rPr>
        <w:t>"Logos"</w:t>
      </w:r>
      <w:r w:rsidR="00A73078" w:rsidRPr="00402C99">
        <w:rPr>
          <w:rFonts w:ascii="Simplified Arabic" w:hAnsi="Simplified Arabic" w:cs="Simplified Arabic"/>
          <w:sz w:val="28"/>
          <w:szCs w:val="28"/>
          <w:rtl/>
        </w:rPr>
        <w:t xml:space="preserve"> للدلالة على المنطق باعتبار أنّ أصل هذه الكلمة في اللسان اليوناني تدلّ على معنيين اثنين هما اللسان والفكر. وقد عرف اليونان المنطق بأنّه الآلة التي تصنع الخطاب السليم أو قل أنّه آلية لإنشاء الخطاب السليم، وهذا هو الذي عناه أرسطو عندما عنون كتابه الخاص بالتحليلات باسم "الأرغانون" أي الآلة أو الأداة وذلك عندما تناول المنطق الصوري الذي عرف ازدهاراً واسعاً في العصور اللاحقة بعده وخاصة في العصور الإسلامية</w:t>
      </w:r>
      <w:r w:rsidR="00A73078" w:rsidRPr="00402C99">
        <w:rPr>
          <w:rFonts w:ascii="Simplified Arabic" w:hAnsi="Simplified Arabic" w:cs="Simplified Arabic"/>
          <w:sz w:val="28"/>
          <w:szCs w:val="28"/>
          <w:vertAlign w:val="superscript"/>
          <w:rtl/>
        </w:rPr>
        <w:footnoteReference w:id="70"/>
      </w:r>
      <w:r w:rsidR="00DC1256">
        <w:rPr>
          <w:rFonts w:ascii="Simplified Arabic" w:hAnsi="Simplified Arabic" w:cs="Simplified Arabic" w:hint="cs"/>
          <w:sz w:val="28"/>
          <w:szCs w:val="28"/>
          <w:rtl/>
        </w:rPr>
        <w:t>.</w:t>
      </w:r>
    </w:p>
    <w:p w:rsidR="00A73078" w:rsidRPr="00402C99" w:rsidRDefault="00252EAA" w:rsidP="00252EAA">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وليس هناك ما يدهش إذا علم أنّ المنطق –اللسان والفكر- نشأ بين يدي الأمة اليونانية، هذا البلد الذي كانت التبادلات التجارية والاقتصادية، والتدابير السياسية والنقاشات والحوارات الديمقراطية لها أهمية قصوى عند هذه الأمة مما يقتضي إنشاء وتصنيع خطابات سليمة تمتلك القدرة على الإقناع وإفحام الخصوم وذلك بتقديم الأدلة والحجج في صيغ وتراكيب قولية. والتدليل على قضية ما يعني ربطها بقضايا أخرى مسلماً بها ثم است</w:t>
      </w:r>
      <w:r>
        <w:rPr>
          <w:rFonts w:ascii="Simplified Arabic" w:hAnsi="Simplified Arabic" w:cs="Simplified Arabic"/>
          <w:sz w:val="28"/>
          <w:szCs w:val="28"/>
          <w:rtl/>
        </w:rPr>
        <w:t>نباط هذه القضية من تلك المسلمات</w:t>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فالمنطق إذن هو علم الدليل أي المعرفة التي تضع قواعد الاستدلال الصحيح إنّها فنّ التوجيه السليم للعقل حتى تعصمه من الخطأ</w:t>
      </w:r>
      <w:r w:rsidR="00A73078" w:rsidRPr="00402C99">
        <w:rPr>
          <w:rFonts w:ascii="Simplified Arabic" w:hAnsi="Simplified Arabic" w:cs="Simplified Arabic"/>
          <w:sz w:val="28"/>
          <w:szCs w:val="28"/>
          <w:vertAlign w:val="superscript"/>
          <w:rtl/>
        </w:rPr>
        <w:footnoteReference w:id="71"/>
      </w:r>
      <w:r w:rsidR="00DC1256">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فالمنطق إذن يهدف إلى التمييز بين الصح والخطأ في المعارف وبين الصدق والكذب في القضايا.</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والصدق والكذب هما قيمتان معياريتان مثلهما مثل الخير والشر، أو مثل الحسن والقبح، فالصدق هو معيار وقاعدة ومثلٌ أعلى لأحكامنا كما هو الشأن بالنسبة للخير والذي هو بدوره معيار ومثل أعلى لسلوكنا، وعليه اعتبر المنطق علماً معيارياً. وإذا كان المنطق هو فن يوجه العقل توجيهاً سليماً في اكتسابه للمعارف وفي إنشاء الخطابات فإنه يتناول الأفكار والتأملات التي يقوم بها الإنسان حول الأفعال العقلية الأساسية: الإدراك والحكم والتدليل والترتيب</w:t>
      </w:r>
      <w:r w:rsidRPr="00402C99">
        <w:rPr>
          <w:rFonts w:ascii="Simplified Arabic" w:hAnsi="Simplified Arabic" w:cs="Simplified Arabic"/>
          <w:sz w:val="28"/>
          <w:szCs w:val="28"/>
          <w:vertAlign w:val="superscript"/>
          <w:rtl/>
        </w:rPr>
        <w:footnoteReference w:id="72"/>
      </w:r>
      <w:r w:rsidR="00DC1256">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إلا أنّ المنطق القديم، وابتداءً من القرن السادس عشر الميلادي، فقَدَ نفوذه وانحسر دوره في مجالات محدودة وضيقة، ويتعلق هذا الانحسار للمنطق بالتطورات التي عرفتها الرياضيات والفيزياء منذ عصر النهضة الأوروبية، حيث توصلت العلوم الجديدة باستعمالها مناهج خاصة بها، إلى موضوعات جديدة تمتاز بالدقة والموضوعية</w:t>
      </w:r>
      <w:r w:rsidR="00A73078" w:rsidRPr="00402C99">
        <w:rPr>
          <w:rFonts w:ascii="Simplified Arabic" w:hAnsi="Simplified Arabic" w:cs="Simplified Arabic"/>
          <w:sz w:val="28"/>
          <w:szCs w:val="28"/>
          <w:vertAlign w:val="superscript"/>
          <w:rtl/>
        </w:rPr>
        <w:footnoteReference w:id="73"/>
      </w:r>
      <w:r w:rsidR="00A73078" w:rsidRPr="00402C99">
        <w:rPr>
          <w:rFonts w:ascii="Simplified Arabic" w:hAnsi="Simplified Arabic" w:cs="Simplified Arabic"/>
          <w:sz w:val="28"/>
          <w:szCs w:val="28"/>
          <w:rtl/>
        </w:rPr>
        <w:t xml:space="preserve"> بالإضافة إلى تناسبها مع الكفايات العقلية المتسجدة آنذاك.</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لقد ظهرت خلال تلك الفترة معايير جديدة للحقيقة وسُبل استثمارها، ففي الوقت الذي انبرى "بكون" </w:t>
      </w:r>
      <w:r w:rsidRPr="00402C99">
        <w:rPr>
          <w:rFonts w:ascii="Simplified Arabic" w:hAnsi="Simplified Arabic" w:cs="Simplified Arabic"/>
          <w:sz w:val="28"/>
          <w:szCs w:val="28"/>
          <w:lang w:val="en-US"/>
        </w:rPr>
        <w:t>“</w:t>
      </w:r>
      <w:r w:rsidRPr="00252EAA">
        <w:rPr>
          <w:rFonts w:asciiTheme="majorBidi" w:hAnsiTheme="majorBidi" w:cstheme="majorBidi"/>
          <w:sz w:val="24"/>
          <w:szCs w:val="24"/>
          <w:lang w:val="en-US"/>
        </w:rPr>
        <w:t>Bacon</w:t>
      </w:r>
      <w:r w:rsidRPr="00402C99">
        <w:rPr>
          <w:rFonts w:ascii="Simplified Arabic" w:hAnsi="Simplified Arabic" w:cs="Simplified Arabic"/>
          <w:sz w:val="28"/>
          <w:szCs w:val="28"/>
          <w:lang w:val="en-US"/>
        </w:rPr>
        <w:t>”</w:t>
      </w:r>
      <w:r w:rsidRPr="00402C99">
        <w:rPr>
          <w:rFonts w:ascii="Simplified Arabic" w:hAnsi="Simplified Arabic" w:cs="Simplified Arabic"/>
          <w:sz w:val="28"/>
          <w:szCs w:val="28"/>
          <w:vertAlign w:val="superscript"/>
          <w:rtl/>
        </w:rPr>
        <w:footnoteReference w:id="74"/>
      </w:r>
      <w:r w:rsidRPr="00402C99">
        <w:rPr>
          <w:rFonts w:ascii="Simplified Arabic" w:hAnsi="Simplified Arabic" w:cs="Simplified Arabic"/>
          <w:sz w:val="28"/>
          <w:szCs w:val="28"/>
          <w:rtl/>
        </w:rPr>
        <w:t xml:space="preserve"> في وضع "الأرغانون الجديد" الذي وضع فيه قواعد المنهج التجريبي واصفاً إياه بالمنطق </w:t>
      </w:r>
      <w:r w:rsidRPr="00402C99">
        <w:rPr>
          <w:rFonts w:ascii="Simplified Arabic" w:hAnsi="Simplified Arabic" w:cs="Simplified Arabic"/>
          <w:sz w:val="28"/>
          <w:szCs w:val="28"/>
          <w:rtl/>
        </w:rPr>
        <w:lastRenderedPageBreak/>
        <w:t xml:space="preserve">الجديد </w:t>
      </w:r>
      <w:r w:rsidRPr="00402C99">
        <w:rPr>
          <w:rFonts w:ascii="Simplified Arabic" w:hAnsi="Simplified Arabic" w:cs="Simplified Arabic"/>
          <w:sz w:val="28"/>
          <w:szCs w:val="28"/>
          <w:lang w:val="en-US"/>
        </w:rPr>
        <w:t>“</w:t>
      </w:r>
      <w:r w:rsidRPr="00252EAA">
        <w:rPr>
          <w:rFonts w:asciiTheme="majorBidi" w:hAnsiTheme="majorBidi" w:cstheme="majorBidi"/>
          <w:sz w:val="24"/>
          <w:szCs w:val="24"/>
          <w:lang w:val="en-US"/>
        </w:rPr>
        <w:t>Novum</w:t>
      </w:r>
      <w:r w:rsidRPr="00402C99">
        <w:rPr>
          <w:rFonts w:ascii="Simplified Arabic" w:hAnsi="Simplified Arabic" w:cs="Simplified Arabic"/>
          <w:sz w:val="28"/>
          <w:szCs w:val="28"/>
          <w:lang w:val="en-US"/>
        </w:rPr>
        <w:t xml:space="preserve"> </w:t>
      </w:r>
      <w:r w:rsidRPr="00252EAA">
        <w:rPr>
          <w:rFonts w:asciiTheme="majorBidi" w:hAnsiTheme="majorBidi" w:cstheme="majorBidi"/>
          <w:sz w:val="24"/>
          <w:szCs w:val="24"/>
          <w:lang w:val="en-US"/>
        </w:rPr>
        <w:t>orgnum</w:t>
      </w:r>
      <w:r w:rsidRPr="00402C99">
        <w:rPr>
          <w:rFonts w:ascii="Simplified Arabic" w:hAnsi="Simplified Arabic" w:cs="Simplified Arabic"/>
          <w:sz w:val="28"/>
          <w:szCs w:val="28"/>
          <w:lang w:val="en-US"/>
        </w:rPr>
        <w:t>”</w:t>
      </w:r>
      <w:r w:rsidRPr="00402C99">
        <w:rPr>
          <w:rFonts w:ascii="Simplified Arabic" w:hAnsi="Simplified Arabic" w:cs="Simplified Arabic"/>
          <w:sz w:val="28"/>
          <w:szCs w:val="28"/>
          <w:rtl/>
        </w:rPr>
        <w:t xml:space="preserve">، كان ديكارت </w:t>
      </w:r>
      <w:r w:rsidRPr="00402C99">
        <w:rPr>
          <w:rFonts w:ascii="Simplified Arabic" w:hAnsi="Simplified Arabic" w:cs="Simplified Arabic"/>
          <w:sz w:val="28"/>
          <w:szCs w:val="28"/>
          <w:lang w:val="en-US"/>
        </w:rPr>
        <w:t>“</w:t>
      </w:r>
      <w:r w:rsidRPr="00252EAA">
        <w:rPr>
          <w:rFonts w:asciiTheme="majorBidi" w:hAnsiTheme="majorBidi" w:cstheme="majorBidi"/>
          <w:sz w:val="24"/>
          <w:szCs w:val="24"/>
          <w:lang w:val="en-US"/>
        </w:rPr>
        <w:t>Descartes</w:t>
      </w:r>
      <w:r w:rsidRPr="00402C99">
        <w:rPr>
          <w:rFonts w:ascii="Simplified Arabic" w:hAnsi="Simplified Arabic" w:cs="Simplified Arabic"/>
          <w:sz w:val="28"/>
          <w:szCs w:val="28"/>
          <w:lang w:val="en-US"/>
        </w:rPr>
        <w:t>”</w:t>
      </w:r>
      <w:r w:rsidRPr="00402C99">
        <w:rPr>
          <w:rFonts w:ascii="Simplified Arabic" w:hAnsi="Simplified Arabic" w:cs="Simplified Arabic"/>
          <w:sz w:val="28"/>
          <w:szCs w:val="28"/>
          <w:rtl/>
        </w:rPr>
        <w:t xml:space="preserve"> في القرن السابع عشر يبحث عن معايير جديدة للفكر الصحيح من خلال بحوثه الرياضية</w:t>
      </w:r>
      <w:r w:rsidRPr="00402C99">
        <w:rPr>
          <w:rFonts w:ascii="Simplified Arabic" w:hAnsi="Simplified Arabic" w:cs="Simplified Arabic"/>
          <w:sz w:val="28"/>
          <w:szCs w:val="28"/>
          <w:vertAlign w:val="superscript"/>
          <w:rtl/>
        </w:rPr>
        <w:footnoteReference w:id="75"/>
      </w:r>
      <w:r w:rsidR="00DC1256">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إنّ هذا التجاهل للمنطق التقليدي من قبل فلاسفة ورياضيي العصور الحديثة ولقرون عديدة أدّى إلى عجز هذا المنطق عن مواكبة الحركة العلمية والرياضية، فلم يعد المنطق التقليدي قادراً على تحليل أصول ومبادئ المعارف الجديدة، ولا اشتقاق المجهول من المعلوم ولا دراسة الأنواع المختلفة للاستنباط، وهي المساهمات الأساسية للمنطق الجديد</w:t>
      </w:r>
      <w:r w:rsidR="00A73078" w:rsidRPr="00402C99">
        <w:rPr>
          <w:rFonts w:ascii="Simplified Arabic" w:hAnsi="Simplified Arabic" w:cs="Simplified Arabic"/>
          <w:sz w:val="28"/>
          <w:szCs w:val="28"/>
          <w:vertAlign w:val="superscript"/>
          <w:rtl/>
        </w:rPr>
        <w:footnoteReference w:id="76"/>
      </w:r>
      <w:r w:rsidR="00A12360">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كان للمنطق الصوري أن يحيي بشكل مختلف عما آل إليه، فقد حلم "لينبنـز" </w:t>
      </w:r>
      <w:r w:rsidR="00A73078" w:rsidRPr="00402C99">
        <w:rPr>
          <w:rFonts w:ascii="Simplified Arabic" w:hAnsi="Simplified Arabic" w:cs="Simplified Arabic"/>
          <w:sz w:val="28"/>
          <w:szCs w:val="28"/>
          <w:lang w:val="en-US"/>
        </w:rPr>
        <w:t>“</w:t>
      </w:r>
      <w:r w:rsidR="00A73078" w:rsidRPr="00252EAA">
        <w:rPr>
          <w:rFonts w:asciiTheme="majorBidi" w:hAnsiTheme="majorBidi" w:cstheme="majorBidi"/>
          <w:sz w:val="24"/>
          <w:szCs w:val="24"/>
          <w:lang w:val="en-US"/>
        </w:rPr>
        <w:t>Leibniz</w:t>
      </w:r>
      <w:r w:rsidR="00A73078" w:rsidRPr="00402C99">
        <w:rPr>
          <w:rFonts w:ascii="Simplified Arabic" w:hAnsi="Simplified Arabic" w:cs="Simplified Arabic"/>
          <w:sz w:val="28"/>
          <w:szCs w:val="28"/>
          <w:lang w:val="en-US"/>
        </w:rPr>
        <w:t>”</w:t>
      </w:r>
      <w:r w:rsidR="00A73078" w:rsidRPr="00402C99">
        <w:rPr>
          <w:rFonts w:ascii="Simplified Arabic" w:hAnsi="Simplified Arabic" w:cs="Simplified Arabic"/>
          <w:sz w:val="28"/>
          <w:szCs w:val="28"/>
          <w:vertAlign w:val="superscript"/>
          <w:lang w:val="en-US"/>
        </w:rPr>
        <w:footnoteReference w:id="77"/>
      </w:r>
      <w:r w:rsidR="00A73078" w:rsidRPr="00402C99">
        <w:rPr>
          <w:rFonts w:ascii="Simplified Arabic" w:hAnsi="Simplified Arabic" w:cs="Simplified Arabic"/>
          <w:sz w:val="28"/>
          <w:szCs w:val="28"/>
          <w:rtl/>
        </w:rPr>
        <w:t xml:space="preserve"> منذ القرن السابع عشر بمنطق جديد يتصف بالشمولية والعالمية، بحيث يكون أكثر دقة وصرامة من منطق أرسطو، لقد كانت أمنية "لينبنـز" أن ينشئ حساباً</w:t>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منطقياً متكاملاً، ولغةً منطقية دقيقة يمكن التعبير من خلالهما عن القضايا الفلسفية وكل مجالات المعرفة الأخرى على غرار ما هو موجود في الرياضيات بحيث تنتهي الحاجة إلى استخدام اللغة الطبيعية وتنتهي معها كل الجدالات الميتافيزيقية والاختلافات ذات المنشأ الديني واللغوي</w:t>
      </w:r>
      <w:r w:rsidR="00A73078" w:rsidRPr="00402C99">
        <w:rPr>
          <w:rFonts w:ascii="Simplified Arabic" w:hAnsi="Simplified Arabic" w:cs="Simplified Arabic"/>
          <w:sz w:val="28"/>
          <w:szCs w:val="28"/>
          <w:vertAlign w:val="superscript"/>
          <w:rtl/>
        </w:rPr>
        <w:footnoteReference w:id="78"/>
      </w:r>
      <w:r w:rsidR="00A12360">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ومع بيانو وفريغُه وبول ومورغان وشرويدر وكانتور ورسل، صار المنطق يصبو إلى التعبير عن الكلمات والقضايا والعلاقات برموز تتصف بالبساطة، ثم جعل أصحاب هذا المنطق الصوري الجديد العمليات المنطقية حسابات </w:t>
      </w:r>
      <w:r w:rsidR="00A73078" w:rsidRPr="00252EAA">
        <w:rPr>
          <w:rFonts w:asciiTheme="majorBidi" w:hAnsiTheme="majorBidi" w:cstheme="majorBidi"/>
          <w:sz w:val="24"/>
          <w:szCs w:val="24"/>
          <w:lang w:val="en-US"/>
        </w:rPr>
        <w:t>Calculs</w:t>
      </w:r>
      <w:r w:rsidR="00A73078" w:rsidRPr="00402C99">
        <w:rPr>
          <w:rFonts w:ascii="Simplified Arabic" w:hAnsi="Simplified Arabic" w:cs="Simplified Arabic"/>
          <w:sz w:val="28"/>
          <w:szCs w:val="28"/>
          <w:rtl/>
        </w:rPr>
        <w:t xml:space="preserve"> تعمل وفق قواعد محدودة ودقيقة ولنأخذ مثالاً على ذلك كالآتي:</w:t>
      </w:r>
    </w:p>
    <w:p w:rsidR="00A73078" w:rsidRPr="00402C99" w:rsidRDefault="00A73078" w:rsidP="00333242">
      <w:pPr>
        <w:numPr>
          <w:ilvl w:val="0"/>
          <w:numId w:val="6"/>
        </w:numPr>
        <w:tabs>
          <w:tab w:val="num" w:pos="93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اشتريت كتاباً وقرأته</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فيمكن أن نستبدل القضية الأولى "اشتريت كتاباً" بالحرف "[ أ ] وبالقضية الثانية "قرأته" بالحرف [ ب ]، وحرف العطف "و" بالعلامة [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 (التي تدل على الوصل) فتصبح الجملة كالآتي: [ أ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ب ]</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كما يمكن أن نرمز لقيمة الصدق بحرف "ص" ولقيمة الكذب بحرف "ك" فنقول:</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إذا كانت: - أ ص  و  ب ص  نستنتج </w:t>
      </w:r>
      <w:r w:rsidRPr="00402C99">
        <w:rPr>
          <w:rFonts w:ascii="Simplified Arabic" w:hAnsi="Simplified Arabic" w:cs="Simplified Arabic"/>
          <w:sz w:val="28"/>
          <w:szCs w:val="28"/>
          <w:lang w:val="en-US"/>
        </w:rPr>
        <w:sym w:font="Wingdings 3" w:char="F021"/>
      </w:r>
      <w:r w:rsidRPr="00402C99">
        <w:rPr>
          <w:rFonts w:ascii="Simplified Arabic" w:hAnsi="Simplified Arabic" w:cs="Simplified Arabic"/>
          <w:sz w:val="28"/>
          <w:szCs w:val="28"/>
          <w:rtl/>
        </w:rPr>
        <w:t xml:space="preserve"> ( أ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ب ) ص </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t xml:space="preserve">  - أ ك   و  ب ص  </w:t>
      </w: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r>
      <w:r w:rsidRPr="00402C99">
        <w:rPr>
          <w:rFonts w:ascii="Simplified Arabic" w:hAnsi="Simplified Arabic" w:cs="Simplified Arabic"/>
          <w:sz w:val="28"/>
          <w:szCs w:val="28"/>
          <w:lang w:val="en-US"/>
        </w:rPr>
        <w:sym w:font="Wingdings 3" w:char="F021"/>
      </w:r>
      <w:r w:rsidRPr="00402C99">
        <w:rPr>
          <w:rFonts w:ascii="Simplified Arabic" w:hAnsi="Simplified Arabic" w:cs="Simplified Arabic"/>
          <w:sz w:val="28"/>
          <w:szCs w:val="28"/>
          <w:rtl/>
        </w:rPr>
        <w:t xml:space="preserve"> ( أ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ب ) ك</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t xml:space="preserve">  - أ ص  و  ب ك </w:t>
      </w: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r>
      <w:r w:rsidRPr="00402C99">
        <w:rPr>
          <w:rFonts w:ascii="Simplified Arabic" w:hAnsi="Simplified Arabic" w:cs="Simplified Arabic"/>
          <w:sz w:val="28"/>
          <w:szCs w:val="28"/>
          <w:lang w:val="en-US"/>
        </w:rPr>
        <w:sym w:font="Wingdings 3" w:char="F021"/>
      </w:r>
      <w:r w:rsidRPr="00402C99">
        <w:rPr>
          <w:rFonts w:ascii="Simplified Arabic" w:hAnsi="Simplified Arabic" w:cs="Simplified Arabic"/>
          <w:sz w:val="28"/>
          <w:szCs w:val="28"/>
          <w:rtl/>
        </w:rPr>
        <w:t xml:space="preserve"> ( أ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ب ) ك</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t xml:space="preserve">  - أ  ك  و  ب ك</w:t>
      </w:r>
      <w:r w:rsidRPr="00402C99">
        <w:rPr>
          <w:rFonts w:ascii="Simplified Arabic" w:hAnsi="Simplified Arabic" w:cs="Simplified Arabic"/>
          <w:sz w:val="28"/>
          <w:szCs w:val="28"/>
          <w:rtl/>
        </w:rPr>
        <w:tab/>
      </w:r>
      <w:r w:rsidRPr="00402C99">
        <w:rPr>
          <w:rFonts w:ascii="Simplified Arabic" w:hAnsi="Simplified Arabic" w:cs="Simplified Arabic"/>
          <w:sz w:val="28"/>
          <w:szCs w:val="28"/>
          <w:rtl/>
        </w:rPr>
        <w:tab/>
      </w:r>
      <w:r w:rsidRPr="00402C99">
        <w:rPr>
          <w:rFonts w:ascii="Simplified Arabic" w:hAnsi="Simplified Arabic" w:cs="Simplified Arabic"/>
          <w:sz w:val="28"/>
          <w:szCs w:val="28"/>
          <w:lang w:val="en-US"/>
        </w:rPr>
        <w:sym w:font="Wingdings 3" w:char="F021"/>
      </w:r>
      <w:r w:rsidRPr="00402C99">
        <w:rPr>
          <w:rFonts w:ascii="Simplified Arabic" w:hAnsi="Simplified Arabic" w:cs="Simplified Arabic"/>
          <w:sz w:val="28"/>
          <w:szCs w:val="28"/>
          <w:rtl/>
        </w:rPr>
        <w:t xml:space="preserve"> ( أ </w:t>
      </w:r>
      <w:r w:rsidRPr="00402C99">
        <w:rPr>
          <w:rFonts w:ascii="Simplified Arabic" w:hAnsi="Simplified Arabic" w:cs="Times New Roman"/>
          <w:sz w:val="28"/>
          <w:szCs w:val="28"/>
          <w:rtl/>
        </w:rPr>
        <w:t>˄</w:t>
      </w:r>
      <w:r w:rsidRPr="00402C99">
        <w:rPr>
          <w:rFonts w:ascii="Simplified Arabic" w:hAnsi="Simplified Arabic" w:cs="Simplified Arabic"/>
          <w:sz w:val="28"/>
          <w:szCs w:val="28"/>
          <w:rtl/>
        </w:rPr>
        <w:t xml:space="preserve"> ب ) ك</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وإذا كان المنطق القديم يستعمل اللغة الطبيعية ولا يأخذ إلا بالقضايا الحملية (نحو سقراط فان) وكان التمييز بين كل من الموضوع والمحمول والرابطة هو كذلك يخضع للتمييز بين الفاعل والفعل والصفة، </w:t>
      </w:r>
      <w:r w:rsidRPr="00402C99">
        <w:rPr>
          <w:rFonts w:ascii="Simplified Arabic" w:hAnsi="Simplified Arabic" w:cs="Simplified Arabic"/>
          <w:sz w:val="28"/>
          <w:szCs w:val="28"/>
          <w:rtl/>
        </w:rPr>
        <w:lastRenderedPageBreak/>
        <w:t xml:space="preserve">فإنّ المنطق الرياضي الجديد </w:t>
      </w:r>
      <w:r w:rsidRPr="00252EAA">
        <w:rPr>
          <w:rFonts w:asciiTheme="majorBidi" w:hAnsiTheme="majorBidi" w:cstheme="majorBidi"/>
          <w:sz w:val="24"/>
          <w:szCs w:val="24"/>
          <w:lang w:val="en-US"/>
        </w:rPr>
        <w:t>La logistique</w:t>
      </w:r>
      <w:r w:rsidRPr="00402C99">
        <w:rPr>
          <w:rFonts w:ascii="Simplified Arabic" w:hAnsi="Simplified Arabic" w:cs="Simplified Arabic"/>
          <w:sz w:val="28"/>
          <w:szCs w:val="28"/>
          <w:rtl/>
        </w:rPr>
        <w:t>، والذي هو عبارة تقنية رمزية ذات نسق خواريزمي –جبري مطبق على المنطق- يسعى إلى ترميز كل العلاقات الممكنة.</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لقد كان المنطق التقليدي يأخذ بالعلاقات الحملية بين الموضوع والمحمول كتطبيق للتفرقة الميتافزييقية للموجودات إلى جواهر وأعراض، بحيث يقابل الموضوع الجوهر، ويقابل المحمول العرض، الأمر الذي يدعو إلى إقامة منطق على أسس جديدة يتجاوز فيها العلاقة الحملية إلى علاقات أخرى أكثر تعقيداً، ولنأخذ مثالاً على ذلك:</w:t>
      </w:r>
    </w:p>
    <w:p w:rsidR="00A73078" w:rsidRPr="00402C99" w:rsidRDefault="00A73078" w:rsidP="00333242">
      <w:pPr>
        <w:numPr>
          <w:ilvl w:val="1"/>
          <w:numId w:val="3"/>
        </w:numPr>
        <w:tabs>
          <w:tab w:val="clear" w:pos="1800"/>
          <w:tab w:val="num" w:pos="932"/>
        </w:tabs>
        <w:autoSpaceDE w:val="0"/>
        <w:autoSpaceDN w:val="0"/>
        <w:bidi/>
        <w:adjustRightInd w:val="0"/>
        <w:spacing w:after="0" w:line="240" w:lineRule="auto"/>
        <w:ind w:left="-1" w:firstLine="0"/>
        <w:jc w:val="both"/>
        <w:rPr>
          <w:rFonts w:ascii="Simplified Arabic" w:hAnsi="Simplified Arabic" w:cs="Simplified Arabic"/>
          <w:sz w:val="28"/>
          <w:szCs w:val="28"/>
          <w:rtl/>
        </w:rPr>
      </w:pPr>
      <w:r w:rsidRPr="00402C99">
        <w:rPr>
          <w:rFonts w:ascii="Simplified Arabic" w:hAnsi="Simplified Arabic" w:cs="Simplified Arabic"/>
          <w:sz w:val="28"/>
          <w:szCs w:val="28"/>
          <w:rtl/>
        </w:rPr>
        <w:t>القاهرة أكبر من بيروت</w:t>
      </w:r>
    </w:p>
    <w:p w:rsidR="00A73078" w:rsidRPr="00402C99" w:rsidRDefault="00A73078" w:rsidP="00333242">
      <w:pPr>
        <w:numPr>
          <w:ilvl w:val="1"/>
          <w:numId w:val="3"/>
        </w:numPr>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تقع مكة المكرمة بين المدينة المنورة وبين الطائف</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فالعلاقتان –القضيتان (1) و (2) ليستا قضيتين حمليتين ولا تخضعان للنسق الحملي. فبدلاً أن يتحدث المنطق الرياضي عن الموضوع والمحمول، فإنه يتحدث عن التابع (الدالة) </w:t>
      </w:r>
      <w:r w:rsidRPr="00252EAA">
        <w:rPr>
          <w:rFonts w:asciiTheme="majorBidi" w:hAnsiTheme="majorBidi" w:cstheme="majorBidi"/>
          <w:sz w:val="24"/>
          <w:szCs w:val="24"/>
          <w:lang w:val="en-US"/>
        </w:rPr>
        <w:t>La fonction</w:t>
      </w:r>
      <w:r w:rsidRPr="00402C99">
        <w:rPr>
          <w:rFonts w:ascii="Simplified Arabic" w:hAnsi="Simplified Arabic" w:cs="Simplified Arabic"/>
          <w:sz w:val="28"/>
          <w:szCs w:val="28"/>
          <w:rtl/>
        </w:rPr>
        <w:t xml:space="preserve"> وعن متبوع </w:t>
      </w:r>
      <w:r w:rsidRPr="00252EAA">
        <w:rPr>
          <w:rFonts w:asciiTheme="majorBidi" w:hAnsiTheme="majorBidi" w:cstheme="majorBidi"/>
          <w:sz w:val="24"/>
          <w:szCs w:val="24"/>
          <w:lang w:val="en-US"/>
        </w:rPr>
        <w:t>argument</w:t>
      </w:r>
      <w:r w:rsidRPr="00402C99">
        <w:rPr>
          <w:rFonts w:ascii="Simplified Arabic" w:hAnsi="Simplified Arabic" w:cs="Simplified Arabic"/>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ففي القضية العملية "سقراط فان" يكون التابع "تا" (س) </w:t>
      </w:r>
      <w:r w:rsidR="00A73078" w:rsidRPr="00402C99">
        <w:rPr>
          <w:rFonts w:ascii="Simplified Arabic" w:hAnsi="Simplified Arabic" w:cs="Simplified Arabic"/>
          <w:sz w:val="28"/>
          <w:szCs w:val="28"/>
          <w:lang w:val="en-US"/>
        </w:rPr>
        <w:t>[f (x)]</w:t>
      </w:r>
      <w:r w:rsidR="00A73078" w:rsidRPr="00402C99">
        <w:rPr>
          <w:rFonts w:ascii="Simplified Arabic" w:hAnsi="Simplified Arabic" w:cs="Simplified Arabic"/>
          <w:sz w:val="28"/>
          <w:szCs w:val="28"/>
          <w:rtl/>
        </w:rPr>
        <w:t xml:space="preserve"> "فان" مشبع أو قل مكتفٍ بمتبوع واحد وهو سقراط، في حين التابع "أكبر من" في القضية (1) يكون بحاجة إلى متبوعين اثنين هما القاهرة وبيروت حتى يُشبع، والتابع "تقع بين" في المثال (2) يكون بحاجة إلى ثلاثة متبوعات حتى يكتفي وهم مكة المكرمة والمدينة المنورة والطائف.</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وبالإضافة إلى ذلك يمكن للمنطق الرياضي أن يرقى أكثر في عملية التجريد، وذلك بإبدال قيمتي الصدق والكذب بالرقمين </w:t>
      </w:r>
      <w:r w:rsidR="00A73078" w:rsidRPr="00402C99">
        <w:rPr>
          <w:rFonts w:ascii="Simplified Arabic" w:hAnsi="Simplified Arabic" w:cs="Simplified Arabic"/>
          <w:sz w:val="28"/>
          <w:szCs w:val="28"/>
          <w:lang w:val="en-US"/>
        </w:rPr>
        <w:t>(1 , 0)</w:t>
      </w:r>
      <w:r w:rsidR="00A73078" w:rsidRPr="00402C99">
        <w:rPr>
          <w:rFonts w:ascii="Simplified Arabic" w:hAnsi="Simplified Arabic" w:cs="Simplified Arabic"/>
          <w:sz w:val="28"/>
          <w:szCs w:val="28"/>
          <w:rtl/>
        </w:rPr>
        <w:t xml:space="preserve"> ومضاعفة هذه القيم والتصنيفات. فيمكن إنشاء منطق متعدد القيم </w:t>
      </w:r>
      <w:r w:rsidR="00A73078" w:rsidRPr="00252EAA">
        <w:rPr>
          <w:rFonts w:asciiTheme="majorBidi" w:hAnsiTheme="majorBidi" w:cstheme="majorBidi"/>
          <w:sz w:val="24"/>
          <w:szCs w:val="24"/>
          <w:lang w:val="en-US"/>
        </w:rPr>
        <w:t>Logiques pluravalentes</w:t>
      </w:r>
      <w:r w:rsidR="00A73078" w:rsidRPr="00402C99">
        <w:rPr>
          <w:rFonts w:ascii="Simplified Arabic" w:hAnsi="Simplified Arabic" w:cs="Simplified Arabic"/>
          <w:sz w:val="28"/>
          <w:szCs w:val="28"/>
          <w:rtl/>
        </w:rPr>
        <w:t xml:space="preserve"> كالمنطق الثلاثي القيم: الصدق والكذب وعدم البت </w:t>
      </w:r>
      <w:r w:rsidR="00A73078" w:rsidRPr="00252EAA">
        <w:rPr>
          <w:rFonts w:asciiTheme="majorBidi" w:hAnsiTheme="majorBidi" w:cstheme="majorBidi"/>
          <w:sz w:val="24"/>
          <w:szCs w:val="24"/>
          <w:lang w:val="en-US"/>
        </w:rPr>
        <w:t xml:space="preserve">Le </w:t>
      </w:r>
      <w:r w:rsidR="00A73078" w:rsidRPr="00252EAA">
        <w:rPr>
          <w:rFonts w:asciiTheme="majorBidi" w:hAnsiTheme="majorBidi" w:cstheme="majorBidi"/>
          <w:sz w:val="24"/>
          <w:szCs w:val="24"/>
        </w:rPr>
        <w:t xml:space="preserve">le </w:t>
      </w:r>
      <w:r w:rsidR="00A73078" w:rsidRPr="00252EAA">
        <w:rPr>
          <w:rFonts w:asciiTheme="majorBidi" w:hAnsiTheme="majorBidi" w:cstheme="majorBidi"/>
          <w:sz w:val="24"/>
          <w:szCs w:val="24"/>
          <w:lang w:val="en-US"/>
        </w:rPr>
        <w:t>vrai, le</w:t>
      </w:r>
      <w:r w:rsidR="00A73078" w:rsidRPr="00402C99">
        <w:rPr>
          <w:rFonts w:ascii="Simplified Arabic" w:hAnsi="Simplified Arabic" w:cs="Simplified Arabic"/>
          <w:sz w:val="28"/>
          <w:szCs w:val="28"/>
          <w:lang w:val="en-US"/>
        </w:rPr>
        <w:t xml:space="preserve"> faux, </w:t>
      </w:r>
      <w:r w:rsidR="00A73078" w:rsidRPr="00252EAA">
        <w:rPr>
          <w:rFonts w:asciiTheme="majorBidi" w:hAnsiTheme="majorBidi" w:cstheme="majorBidi"/>
          <w:sz w:val="24"/>
          <w:szCs w:val="24"/>
          <w:lang w:val="en-US"/>
        </w:rPr>
        <w:t>L'indécidable</w:t>
      </w:r>
      <w:r w:rsidR="00A73078" w:rsidRPr="00402C99">
        <w:rPr>
          <w:rFonts w:ascii="Simplified Arabic" w:hAnsi="Simplified Arabic" w:cs="Simplified Arabic"/>
          <w:sz w:val="28"/>
          <w:szCs w:val="28"/>
          <w:rtl/>
        </w:rPr>
        <w:t xml:space="preserve"> الذي يُلبي حاجات الرياضيات الحدسية حيث ميـزت هذه الرياضيات بين الصدق والكذب والمحال </w:t>
      </w:r>
      <w:r w:rsidR="00A73078" w:rsidRPr="00252EAA">
        <w:rPr>
          <w:rFonts w:asciiTheme="majorBidi" w:hAnsiTheme="majorBidi" w:cstheme="majorBidi"/>
          <w:sz w:val="24"/>
          <w:szCs w:val="24"/>
          <w:lang w:val="en-US"/>
        </w:rPr>
        <w:t>L'absurde</w:t>
      </w:r>
      <w:r w:rsidR="00A73078" w:rsidRPr="00402C99">
        <w:rPr>
          <w:rFonts w:ascii="Simplified Arabic" w:hAnsi="Simplified Arabic" w:cs="Simplified Arabic"/>
          <w:sz w:val="28"/>
          <w:szCs w:val="28"/>
          <w:vertAlign w:val="superscript"/>
          <w:rtl/>
          <w:lang w:bidi="ar-LB"/>
        </w:rPr>
        <w:footnoteReference w:id="79"/>
      </w:r>
      <w:r w:rsidR="00A12360">
        <w:rPr>
          <w:rFonts w:asciiTheme="majorBidi" w:hAnsiTheme="majorBidi" w:cstheme="majorBidi" w:hint="cs"/>
          <w:sz w:val="24"/>
          <w:szCs w:val="24"/>
          <w:rtl/>
          <w:lang w:val="en-US"/>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lang w:bidi="ar-LB"/>
        </w:rPr>
        <w:t xml:space="preserve">كما أنّ هناك منطق متعدد القيم يُعتمد في حساب الاحتمالات، حيث كل قيمة تُعبر عن درجة من الاحتمال من هنا يمكن أن نعتبر المنطق الرياضي علم قائم بذاته مثله كمثل الجبر، فهو نسق من العلامات تحته قواعد وعمليات مخصوصة. إنّ هذا المنطق يشتغل على الحسابات الدقيقة والصارمة </w:t>
      </w:r>
      <w:r w:rsidR="00A73078" w:rsidRPr="00252EAA">
        <w:rPr>
          <w:rFonts w:asciiTheme="majorBidi" w:hAnsiTheme="majorBidi" w:cstheme="majorBidi"/>
          <w:sz w:val="24"/>
          <w:szCs w:val="24"/>
          <w:lang w:val="en-US"/>
        </w:rPr>
        <w:t>rigoureuses</w:t>
      </w:r>
      <w:r w:rsidR="00A73078" w:rsidRPr="00402C99">
        <w:rPr>
          <w:rFonts w:ascii="Simplified Arabic" w:hAnsi="Simplified Arabic" w:cs="Simplified Arabic"/>
          <w:sz w:val="28"/>
          <w:szCs w:val="28"/>
          <w:rtl/>
        </w:rPr>
        <w:t xml:space="preserve"> انطلاقاً من قضايا أولية يطلق عليها اسم المسلمات </w:t>
      </w:r>
      <w:r w:rsidR="00A73078" w:rsidRPr="00252EAA">
        <w:rPr>
          <w:rFonts w:asciiTheme="majorBidi" w:hAnsiTheme="majorBidi" w:cstheme="majorBidi"/>
          <w:sz w:val="24"/>
          <w:szCs w:val="24"/>
          <w:lang w:val="en-US"/>
        </w:rPr>
        <w:t>Les</w:t>
      </w:r>
      <w:r w:rsidR="00A73078" w:rsidRPr="00402C99">
        <w:rPr>
          <w:rFonts w:ascii="Simplified Arabic" w:hAnsi="Simplified Arabic" w:cs="Simplified Arabic"/>
          <w:sz w:val="28"/>
          <w:szCs w:val="28"/>
          <w:lang w:val="en-US"/>
        </w:rPr>
        <w:t xml:space="preserve"> </w:t>
      </w:r>
      <w:r w:rsidR="00A73078" w:rsidRPr="00252EAA">
        <w:rPr>
          <w:rFonts w:asciiTheme="majorBidi" w:hAnsiTheme="majorBidi" w:cstheme="majorBidi"/>
          <w:sz w:val="24"/>
          <w:szCs w:val="24"/>
          <w:lang w:val="en-US"/>
        </w:rPr>
        <w:t>axiomes</w:t>
      </w:r>
      <w:r w:rsidR="00A73078" w:rsidRPr="00402C99">
        <w:rPr>
          <w:rFonts w:ascii="Simplified Arabic" w:hAnsi="Simplified Arabic" w:cs="Simplified Arabic"/>
          <w:sz w:val="28"/>
          <w:szCs w:val="28"/>
          <w:rtl/>
        </w:rPr>
        <w:t>، وعن طريق قواعد إجرائية محددة المعالم</w:t>
      </w:r>
      <w:r w:rsidR="00A73078" w:rsidRPr="00402C99">
        <w:rPr>
          <w:rFonts w:ascii="Simplified Arabic" w:hAnsi="Simplified Arabic" w:cs="Simplified Arabic"/>
          <w:sz w:val="28"/>
          <w:szCs w:val="28"/>
          <w:vertAlign w:val="superscript"/>
          <w:rtl/>
        </w:rPr>
        <w:footnoteReference w:id="80"/>
      </w:r>
      <w:r w:rsidR="00A12360">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 xml:space="preserve">لقد شهد المسار الصوري للمنطق انقلاباً كان مصدره الرياضيات التي عرفت إبان تلك الفترة أزمة قوية أطلق عليها أزمة الأسس حيث تساءل المناطقة والرياضيون عن أساس اليقين الرياضي وقد شملت هذه </w:t>
      </w:r>
      <w:r w:rsidR="00A73078" w:rsidRPr="00402C99">
        <w:rPr>
          <w:rFonts w:ascii="Simplified Arabic" w:hAnsi="Simplified Arabic" w:cs="Simplified Arabic"/>
          <w:sz w:val="28"/>
          <w:szCs w:val="28"/>
          <w:rtl/>
        </w:rPr>
        <w:lastRenderedPageBreak/>
        <w:t>المساءلة مجالات عدة كالجبر والهندسة حيث تمّ نقد نظرية المجموعات بعدما تبيّن أنّ مفهوم المجموعة ينطوي على مفارقات صريحة هذا في مجال الجبر</w:t>
      </w:r>
      <w:r w:rsidR="00A73078" w:rsidRPr="00402C99">
        <w:rPr>
          <w:rFonts w:ascii="Simplified Arabic" w:hAnsi="Simplified Arabic" w:cs="Simplified Arabic"/>
          <w:sz w:val="28"/>
          <w:szCs w:val="28"/>
          <w:vertAlign w:val="superscript"/>
          <w:rtl/>
        </w:rPr>
        <w:footnoteReference w:id="81"/>
      </w:r>
      <w:r w:rsidR="00A73078" w:rsidRPr="00402C99">
        <w:rPr>
          <w:rFonts w:ascii="Simplified Arabic" w:hAnsi="Simplified Arabic" w:cs="Simplified Arabic"/>
          <w:sz w:val="28"/>
          <w:szCs w:val="28"/>
          <w:rtl/>
        </w:rPr>
        <w:t xml:space="preserve"> أما في مجال الهندسة فقد تبيّن للمناطقة والرياضيين محدودية الهندسة الإقليدية وبالتالي يمكن تجاوزها إلى هندسيات غير إقليدية تقوم على مسلمات </w:t>
      </w:r>
      <w:r w:rsidR="00A73078" w:rsidRPr="00252EAA">
        <w:rPr>
          <w:rFonts w:asciiTheme="majorBidi" w:hAnsiTheme="majorBidi" w:cstheme="majorBidi"/>
          <w:sz w:val="24"/>
          <w:szCs w:val="24"/>
          <w:lang w:val="en-US"/>
        </w:rPr>
        <w:t>axiomes</w:t>
      </w:r>
      <w:r w:rsidR="00A73078" w:rsidRPr="00402C99">
        <w:rPr>
          <w:rFonts w:ascii="Simplified Arabic" w:hAnsi="Simplified Arabic" w:cs="Simplified Arabic"/>
          <w:sz w:val="28"/>
          <w:szCs w:val="28"/>
          <w:rtl/>
        </w:rPr>
        <w:t xml:space="preserve"> مخالفة لمسلمات النسق الإقليدي</w:t>
      </w:r>
      <w:r w:rsidR="00A73078" w:rsidRPr="00402C99">
        <w:rPr>
          <w:rFonts w:ascii="Simplified Arabic" w:hAnsi="Simplified Arabic" w:cs="Simplified Arabic"/>
          <w:sz w:val="28"/>
          <w:szCs w:val="28"/>
          <w:vertAlign w:val="superscript"/>
          <w:rtl/>
        </w:rPr>
        <w:footnoteReference w:id="82"/>
      </w:r>
      <w:r w:rsidR="00A12360">
        <w:rPr>
          <w:rFonts w:ascii="Simplified Arabic" w:hAnsi="Simplified Arabic" w:cs="Simplified Arabic" w:hint="cs"/>
          <w:sz w:val="28"/>
          <w:szCs w:val="28"/>
          <w:rtl/>
        </w:rPr>
        <w:t>.</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 xml:space="preserve">لقد امتدت هذه الإشكالات الرياضية إلى مجال المنطق حيث بيّن المنطقي والرياضي المعروف "كورث غودل" من خلال نظريتي عدم البت </w:t>
      </w:r>
      <w:r w:rsidR="00A73078" w:rsidRPr="00252EAA">
        <w:rPr>
          <w:rFonts w:asciiTheme="majorBidi" w:hAnsiTheme="majorBidi" w:cstheme="majorBidi"/>
          <w:sz w:val="24"/>
          <w:szCs w:val="24"/>
          <w:lang w:val="en-US"/>
        </w:rPr>
        <w:t>L'indécidable</w:t>
      </w:r>
      <w:r w:rsidR="00A73078" w:rsidRPr="00402C99">
        <w:rPr>
          <w:rFonts w:ascii="Simplified Arabic" w:hAnsi="Simplified Arabic" w:cs="Simplified Arabic"/>
          <w:sz w:val="28"/>
          <w:szCs w:val="28"/>
          <w:rtl/>
          <w:lang w:bidi="ar-LB"/>
        </w:rPr>
        <w:t xml:space="preserve"> وعدم التمام </w:t>
      </w:r>
      <w:r w:rsidR="00A73078" w:rsidRPr="00252EAA">
        <w:rPr>
          <w:rFonts w:asciiTheme="majorBidi" w:hAnsiTheme="majorBidi" w:cstheme="majorBidi"/>
          <w:sz w:val="24"/>
          <w:szCs w:val="24"/>
          <w:lang w:val="en-US"/>
        </w:rPr>
        <w:t>L'incomplétude</w:t>
      </w:r>
      <w:r w:rsidR="00A73078" w:rsidRPr="00402C99">
        <w:rPr>
          <w:rFonts w:ascii="Simplified Arabic" w:hAnsi="Simplified Arabic" w:cs="Simplified Arabic"/>
          <w:sz w:val="28"/>
          <w:szCs w:val="28"/>
          <w:rtl/>
          <w:lang w:bidi="ar-LB"/>
        </w:rPr>
        <w:t>، حدود الأنساق الصورية.</w:t>
      </w:r>
    </w:p>
    <w:p w:rsidR="00A73078" w:rsidRPr="00402C99" w:rsidRDefault="00252EAA"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lang w:bidi="ar-LB"/>
        </w:rPr>
        <w:t>لقد أدّى هذا التأثير إلى قيام أنساق منطقية متعددة كان هدفها غير المعلن هو الاستجابة للتحولات التي يشهدها فهمنا للواقع العلمي، من خلال تطويع الأداة المنطقية حتى تصير ملائمة لمقاربة الظواهر المختلفة في شتى المجالات والمعارف. فكان أن ظهرت أنساق منطقية متعددة تخرق مبدأ الثالث المرفوع، الذي يترتب عنه القول بثنائية القيم (الصدق والكذب) واستبدلت بهذا المبدأ أي الثالث المرفوع مبادئ أخرى مثل نظرية النماذج.</w:t>
      </w:r>
      <w:r w:rsidR="00A73078" w:rsidRPr="00402C99">
        <w:rPr>
          <w:rFonts w:ascii="Simplified Arabic" w:hAnsi="Simplified Arabic" w:cs="Simplified Arabic"/>
          <w:sz w:val="28"/>
          <w:szCs w:val="28"/>
          <w:vertAlign w:val="superscript"/>
          <w:rtl/>
          <w:lang w:bidi="ar-LB"/>
        </w:rPr>
        <w:footnoteReference w:id="83"/>
      </w:r>
      <w:r w:rsidR="00A73078" w:rsidRPr="00252EAA">
        <w:rPr>
          <w:rFonts w:asciiTheme="majorBidi" w:hAnsiTheme="majorBidi" w:cstheme="majorBidi"/>
          <w:sz w:val="24"/>
          <w:szCs w:val="24"/>
          <w:lang w:val="en-US"/>
        </w:rPr>
        <w:t>Théorie des paradigmes</w:t>
      </w:r>
      <w:r w:rsidR="00A73078" w:rsidRPr="00402C99">
        <w:rPr>
          <w:rFonts w:ascii="Simplified Arabic" w:hAnsi="Simplified Arabic" w:cs="Simplified Arabic"/>
          <w:sz w:val="28"/>
          <w:szCs w:val="28"/>
          <w:rtl/>
        </w:rPr>
        <w:t>، ومن ثم ظهرت أنساق ثلاثية ورباعية وخماسية.</w:t>
      </w:r>
    </w:p>
    <w:p w:rsidR="00A73078" w:rsidRPr="00402C99" w:rsidRDefault="00A12360" w:rsidP="00333242">
      <w:pPr>
        <w:autoSpaceDE w:val="0"/>
        <w:autoSpaceDN w:val="0"/>
        <w:bidi/>
        <w:adjustRightInd w:val="0"/>
        <w:spacing w:after="0" w:line="240" w:lineRule="auto"/>
        <w:ind w:left="-1"/>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وبرزت إلى جانب ذلك أنساق أخرى تنظر في جوانب محددة من القضايا المنطقية كالمنطق الموجه </w:t>
      </w:r>
      <w:r w:rsidR="00A73078" w:rsidRPr="00252EAA">
        <w:rPr>
          <w:rFonts w:asciiTheme="majorBidi" w:hAnsiTheme="majorBidi" w:cstheme="majorBidi"/>
          <w:sz w:val="24"/>
          <w:szCs w:val="24"/>
          <w:lang w:val="en-US"/>
        </w:rPr>
        <w:t>Logique</w:t>
      </w:r>
      <w:r w:rsidR="00A73078" w:rsidRPr="00402C99">
        <w:rPr>
          <w:rFonts w:ascii="Simplified Arabic" w:hAnsi="Simplified Arabic" w:cs="Simplified Arabic"/>
          <w:sz w:val="28"/>
          <w:szCs w:val="28"/>
          <w:lang w:val="en-US"/>
        </w:rPr>
        <w:t xml:space="preserve"> </w:t>
      </w:r>
      <w:r w:rsidR="00A73078" w:rsidRPr="00252EAA">
        <w:rPr>
          <w:rFonts w:asciiTheme="majorBidi" w:hAnsiTheme="majorBidi" w:cstheme="majorBidi"/>
          <w:sz w:val="24"/>
          <w:szCs w:val="24"/>
          <w:lang w:val="en-US"/>
        </w:rPr>
        <w:t>modale</w:t>
      </w:r>
      <w:r w:rsidR="00A73078" w:rsidRPr="00402C99">
        <w:rPr>
          <w:rFonts w:ascii="Simplified Arabic" w:hAnsi="Simplified Arabic" w:cs="Simplified Arabic"/>
          <w:sz w:val="28"/>
          <w:szCs w:val="28"/>
          <w:rtl/>
        </w:rPr>
        <w:t xml:space="preserve"> [الذي ينظر في الجهات العقلية للقضية كالضرورة والإمكان والاستحالة] ومنطق الأحكام [الذي ينظر في الجهات الحكمية من القضايا الشرعية كالوجوب والجواز والحرمة] ومنطق الزمان [الذي يعالج القضايا المرتبطة بموجهات الزمان] والمنطق الاحتمالي [الذي ينظر في القضايا التي يدخل في تركيبها مفهوم الاحتمال] ومنطق الاشتباه </w:t>
      </w:r>
      <w:r w:rsidR="00A73078" w:rsidRPr="00252EAA">
        <w:rPr>
          <w:rFonts w:asciiTheme="majorBidi" w:hAnsiTheme="majorBidi" w:cstheme="majorBidi"/>
          <w:sz w:val="24"/>
          <w:szCs w:val="24"/>
          <w:lang w:val="en-US"/>
        </w:rPr>
        <w:t>Logique floue</w:t>
      </w:r>
      <w:r w:rsidR="00A73078" w:rsidRPr="00402C99">
        <w:rPr>
          <w:rFonts w:ascii="Simplified Arabic" w:hAnsi="Simplified Arabic" w:cs="Simplified Arabic"/>
          <w:sz w:val="28"/>
          <w:szCs w:val="28"/>
          <w:rtl/>
        </w:rPr>
        <w:t xml:space="preserve"> [الذي ينظر ويُعالج القضايا التي يكون متعلق الحكم فيها أمراً إشتباهياً يتعذر القطع والبت في شأنه بحكم] ومنطق الحوار أو قل منطق المناظرة [الذي يعالج القوانين التي تحكم المخاطبات الإنسانية المختلفة] وهكذا ظلت الأنساق المنطقية تتناسل وفق ما يطرحه الواقع من ظواهر، وقضايا جديدة، بحث صار المنطق تابع للواقع بعدما كان الواقع تابعاً للمنطق في مفهومه الكلاسيكي الأحادي.</w:t>
      </w:r>
    </w:p>
    <w:p w:rsidR="00A73078" w:rsidRPr="00402C99" w:rsidRDefault="00A12360" w:rsidP="00252EAA">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وبما أنّ المنطق تشعبت أبوابه ومباحثه وتنوعت أصنافه ومستوياته حتى كادت بعض اتجاهاته تتضارب في أصولها وتتعارض في قواعدها، يمكن أن يطلق على المنطق في هذه الحال اسم المنطقيات </w:t>
      </w:r>
      <w:r w:rsidR="00252EAA">
        <w:rPr>
          <w:rFonts w:ascii="Simplified Arabic" w:hAnsi="Simplified Arabic" w:cs="Simplified Arabic"/>
          <w:sz w:val="28"/>
          <w:szCs w:val="28"/>
          <w:rtl/>
        </w:rPr>
        <w:t>قياساً على الرياضيات واللسانيات</w:t>
      </w:r>
      <w:r w:rsidR="00252EAA">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ويبدو أنّ فك الارتباط بين المنطق والرياضيات وعودة المنطق إلى اللغة الطبيعية سوف يوسع من مدلول المنطق، ويخفف من الطابع الصوري للدراسات المنطقية، وهذا بالضبط ما لاحظه أبو حيان التوحيدي عندما يروى لنا تلك المناظرة الشهيرة التي جرت بين أبي سعيد </w:t>
      </w:r>
      <w:r w:rsidR="00A73078" w:rsidRPr="00402C99">
        <w:rPr>
          <w:rFonts w:ascii="Simplified Arabic" w:hAnsi="Simplified Arabic" w:cs="Simplified Arabic"/>
          <w:sz w:val="28"/>
          <w:szCs w:val="28"/>
          <w:rtl/>
        </w:rPr>
        <w:lastRenderedPageBreak/>
        <w:t>السيرافي النحوي ومتى بن يونس ا</w:t>
      </w:r>
      <w:r w:rsidR="004F75E3">
        <w:rPr>
          <w:rFonts w:ascii="Simplified Arabic" w:hAnsi="Simplified Arabic" w:cs="Simplified Arabic" w:hint="cs"/>
          <w:sz w:val="28"/>
          <w:szCs w:val="28"/>
          <w:rtl/>
        </w:rPr>
        <w:t>ل</w:t>
      </w:r>
      <w:r w:rsidR="00A73078" w:rsidRPr="00402C99">
        <w:rPr>
          <w:rFonts w:ascii="Simplified Arabic" w:hAnsi="Simplified Arabic" w:cs="Simplified Arabic"/>
          <w:sz w:val="28"/>
          <w:szCs w:val="28"/>
          <w:rtl/>
        </w:rPr>
        <w:t xml:space="preserve">منطقي أستاذ أبي نصر الفارابي، فقد طرحت خلال تلك المناقشات عدة إشكالات تعترض المنطق منها: </w:t>
      </w:r>
    </w:p>
    <w:p w:rsidR="00A73078" w:rsidRPr="00402C99" w:rsidRDefault="00A73078" w:rsidP="00333242">
      <w:pPr>
        <w:numPr>
          <w:ilvl w:val="0"/>
          <w:numId w:val="7"/>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 هل المنطق هو بحث في المعقولات التي تلزم الأمم جميعاً أم هو بحث في المعاني الخاصة التي لا تلزم إلا أهل الإغريق؟</w:t>
      </w:r>
    </w:p>
    <w:p w:rsidR="00A73078" w:rsidRPr="00402C99" w:rsidRDefault="00A73078" w:rsidP="00333242">
      <w:pPr>
        <w:numPr>
          <w:ilvl w:val="0"/>
          <w:numId w:val="7"/>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 xml:space="preserve"> هل المنطق واللغة (والنحو) حقيقتان مختلفتان فيما بينهما أم هما وجهان لحقيقة واحدة؟ بمعنى آخر هل يمكن للمنطق أن يستقل عن اللغة؟</w:t>
      </w:r>
    </w:p>
    <w:p w:rsidR="00A73078" w:rsidRPr="00402C99" w:rsidRDefault="00A73078" w:rsidP="00333242">
      <w:pPr>
        <w:numPr>
          <w:ilvl w:val="0"/>
          <w:numId w:val="7"/>
        </w:numPr>
        <w:tabs>
          <w:tab w:val="num" w:pos="75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 xml:space="preserve"> هل المنطق صناعة بحتة ترفع بقوانينها وقواعدها الخلاف بين الأمم وتوجه عقولهم إلى معرفة واحدة أم هو نظر طبيعي في المعقولات تختلف فيه الأمم والثقافات كما تختلف في غيره؟</w:t>
      </w:r>
      <w:r w:rsidRPr="00402C99">
        <w:rPr>
          <w:rFonts w:ascii="Simplified Arabic" w:hAnsi="Simplified Arabic" w:cs="Simplified Arabic"/>
          <w:sz w:val="28"/>
          <w:szCs w:val="28"/>
          <w:vertAlign w:val="superscript"/>
          <w:rtl/>
        </w:rPr>
        <w:footnoteReference w:id="84"/>
      </w:r>
      <w:r w:rsidR="00290D18">
        <w:rPr>
          <w:rFonts w:ascii="Simplified Arabic" w:hAnsi="Simplified Arabic" w:cs="Simplified Arabic" w:hint="cs"/>
          <w:sz w:val="28"/>
          <w:szCs w:val="28"/>
          <w:rtl/>
          <w:lang w:val="en-US"/>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أما المسألة المتعلقة بشمولية المنطق فقد رُدّ على أصحابها ببيان أنّ واضع المنطق أرسطو طاليس قد وضعه على مقتضى لغة اليونان وإذا أريد نقله إلى لغة أخرى كاللغة العربية فيجب اتباع عادات العرب في التعبير والتفكير</w:t>
      </w:r>
      <w:r w:rsidRPr="00402C99">
        <w:rPr>
          <w:rFonts w:ascii="Simplified Arabic" w:hAnsi="Simplified Arabic" w:cs="Simplified Arabic"/>
          <w:sz w:val="28"/>
          <w:szCs w:val="28"/>
          <w:vertAlign w:val="superscript"/>
          <w:rtl/>
        </w:rPr>
        <w:footnoteReference w:id="85"/>
      </w:r>
      <w:r w:rsidR="00290D18">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أما دعوى صناعية المنطق فيرد عليها بأنّ معرفة الصحة في المعقولات معرفة طبيعية وجدت قبل وجود المنطق الصناعي</w:t>
      </w:r>
      <w:r w:rsidR="00A73078" w:rsidRPr="00402C99">
        <w:rPr>
          <w:rFonts w:ascii="Simplified Arabic" w:hAnsi="Simplified Arabic" w:cs="Simplified Arabic"/>
          <w:sz w:val="28"/>
          <w:szCs w:val="28"/>
          <w:vertAlign w:val="superscript"/>
          <w:rtl/>
        </w:rPr>
        <w:footnoteReference w:id="86"/>
      </w:r>
      <w:r w:rsidR="00290D18">
        <w:rPr>
          <w:rFonts w:ascii="Simplified Arabic" w:hAnsi="Simplified Arabic" w:cs="Simplified Arabic" w:hint="cs"/>
          <w:sz w:val="28"/>
          <w:szCs w:val="28"/>
          <w:rtl/>
        </w:rPr>
        <w:t>.</w:t>
      </w:r>
    </w:p>
    <w:p w:rsidR="00A73078" w:rsidRPr="00402C99" w:rsidRDefault="004F75E3" w:rsidP="004F75E3">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w:t>
      </w:r>
      <w:r w:rsidR="00A73078" w:rsidRPr="00402C99">
        <w:rPr>
          <w:rFonts w:ascii="Simplified Arabic" w:hAnsi="Simplified Arabic" w:cs="Simplified Arabic"/>
          <w:sz w:val="28"/>
          <w:szCs w:val="28"/>
          <w:rtl/>
        </w:rPr>
        <w:t>في ما يتعلق باستقلالية المنطق عن اللغة فقد كان بيانها كالآتي: إنه لا سبيل إلى العلم بما حال في الفكر ما لم يوجد له اللفظ الذي يطابق المراد،</w:t>
      </w:r>
      <w:r w:rsidR="00A73078" w:rsidRPr="00402C99">
        <w:rPr>
          <w:rFonts w:ascii="Simplified Arabic" w:hAnsi="Simplified Arabic" w:cs="Simplified Arabic"/>
          <w:sz w:val="28"/>
          <w:szCs w:val="28"/>
          <w:vertAlign w:val="superscript"/>
          <w:rtl/>
        </w:rPr>
        <w:footnoteReference w:id="87"/>
      </w:r>
      <w:r w:rsidR="00A73078" w:rsidRPr="00402C99">
        <w:rPr>
          <w:rFonts w:ascii="Simplified Arabic" w:hAnsi="Simplified Arabic" w:cs="Simplified Arabic"/>
          <w:sz w:val="28"/>
          <w:szCs w:val="28"/>
          <w:rtl/>
        </w:rPr>
        <w:t>وأنه ما من مسألة تثبت علاقتها بالشكل اللفظي إلا وتبين عند النظر والتحقيق أنها تنطوي على معان عقلية</w:t>
      </w:r>
      <w:r w:rsidR="00A73078" w:rsidRPr="00402C99">
        <w:rPr>
          <w:rFonts w:ascii="Simplified Arabic" w:hAnsi="Simplified Arabic" w:cs="Simplified Arabic"/>
          <w:sz w:val="28"/>
          <w:szCs w:val="28"/>
          <w:vertAlign w:val="superscript"/>
          <w:rtl/>
        </w:rPr>
        <w:footnoteReference w:id="88"/>
      </w:r>
      <w:r w:rsidR="00A73078" w:rsidRPr="00402C99">
        <w:rPr>
          <w:rFonts w:ascii="Simplified Arabic" w:hAnsi="Simplified Arabic" w:cs="Simplified Arabic"/>
          <w:sz w:val="28"/>
          <w:szCs w:val="28"/>
          <w:rtl/>
        </w:rPr>
        <w:t>وكل مسألة تتضمن معان عقلية إلا وثبتت علاقتها بالشكل اللفظي.</w:t>
      </w:r>
      <w:r w:rsidR="00A73078" w:rsidRPr="00402C99">
        <w:rPr>
          <w:rFonts w:ascii="Simplified Arabic" w:hAnsi="Simplified Arabic" w:cs="Simplified Arabic"/>
          <w:sz w:val="28"/>
          <w:szCs w:val="28"/>
          <w:vertAlign w:val="superscript"/>
          <w:rtl/>
        </w:rPr>
        <w:footnoteReference w:id="89"/>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ثم إن ما يدرك من هذه المعقولات والمعاني العقلية يختلف باختلاف اللغات الطبيعية</w:t>
      </w:r>
      <w:r w:rsidR="00A73078" w:rsidRPr="00402C99">
        <w:rPr>
          <w:rFonts w:ascii="Simplified Arabic" w:hAnsi="Simplified Arabic" w:cs="Simplified Arabic"/>
          <w:sz w:val="28"/>
          <w:szCs w:val="28"/>
          <w:vertAlign w:val="superscript"/>
          <w:rtl/>
        </w:rPr>
        <w:footnoteReference w:id="90"/>
      </w:r>
      <w:r w:rsidR="00A73078" w:rsidRPr="00402C99">
        <w:rPr>
          <w:rFonts w:ascii="Simplified Arabic" w:hAnsi="Simplified Arabic" w:cs="Simplified Arabic"/>
          <w:sz w:val="28"/>
          <w:szCs w:val="28"/>
          <w:rtl/>
        </w:rPr>
        <w:t>بحيث لا ينفع المنطق في رفع الاختلاف في المعقولات كما لا يرتفع الاختلاف بين اللغات</w:t>
      </w:r>
      <w:r w:rsidR="00A73078" w:rsidRPr="00402C99">
        <w:rPr>
          <w:rFonts w:ascii="Simplified Arabic" w:hAnsi="Simplified Arabic" w:cs="Simplified Arabic"/>
          <w:sz w:val="28"/>
          <w:szCs w:val="28"/>
          <w:vertAlign w:val="superscript"/>
          <w:rtl/>
        </w:rPr>
        <w:footnoteReference w:id="91"/>
      </w:r>
      <w:r w:rsidR="00290D18">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والذي يمكن استخلاصه من تلك المناظرة أن لكل لغة طبيعية منطق طبيعي أو قل لزوم طبيعي مرتبط بها زمناً ووظيفة.</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2.3</w:t>
      </w:r>
      <w:r w:rsidRPr="00402C99">
        <w:rPr>
          <w:rFonts w:ascii="Simplified Arabic" w:hAnsi="Simplified Arabic" w:cs="Simplified Arabic"/>
          <w:b/>
          <w:bCs/>
          <w:sz w:val="28"/>
          <w:szCs w:val="28"/>
          <w:rtl/>
        </w:rPr>
        <w:t>اللزوم الطبيعي واللزوم الصناعي:</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لقد رأينا أنّ المنطق اختلف عند أصحابه باختلاف موضوعاته ومناهجه وتأثر كل ذلك بالواقع مما أدّى إلى اختلاف بين أربابه في وضع تعريف موحد له، وإذا عرفه القدامى بأنه الآلة (الأرغانون) التي تعصم الفكر من الخطأ فإنه تقلب أطواراً في العصور الإسلامية تقليداً وإبداعاً</w:t>
      </w:r>
      <w:r w:rsidR="00A73078" w:rsidRPr="00402C99">
        <w:rPr>
          <w:rFonts w:ascii="Simplified Arabic" w:hAnsi="Simplified Arabic" w:cs="Simplified Arabic"/>
          <w:sz w:val="28"/>
          <w:szCs w:val="28"/>
          <w:vertAlign w:val="superscript"/>
          <w:rtl/>
        </w:rPr>
        <w:footnoteReference w:id="92"/>
      </w:r>
      <w:r w:rsidR="00290D18">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واختلفت تعريفاته باختلاف متناوليه من متكلمين وأصوليين وفلاسفة، وباختلاف الموضوعات التي تطرقت إلى المنطق داخل كلّ مجال معرفي مخصوص، إلا أنّ هذه التعريفات أجمعت على ذكر ثلاثة مفاهيم إجرائية أساسية في تعريف المنطق وهي: القول والانتقال والطلب</w:t>
      </w:r>
      <w:r w:rsidR="00A73078" w:rsidRPr="00402C99">
        <w:rPr>
          <w:rFonts w:ascii="Simplified Arabic" w:hAnsi="Simplified Arabic" w:cs="Simplified Arabic"/>
          <w:sz w:val="28"/>
          <w:szCs w:val="28"/>
          <w:vertAlign w:val="superscript"/>
          <w:rtl/>
        </w:rPr>
        <w:footnoteReference w:id="93"/>
      </w:r>
      <w:r w:rsidR="00290D18">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فقد جاء في تعريف للتهانوي أنّ المنطق هو: "التمييز بين الصدق والكذب في الأقوال".</w:t>
      </w:r>
      <w:r w:rsidR="00A73078" w:rsidRPr="00402C99">
        <w:rPr>
          <w:rFonts w:ascii="Simplified Arabic" w:hAnsi="Simplified Arabic" w:cs="Simplified Arabic"/>
          <w:sz w:val="28"/>
          <w:szCs w:val="28"/>
          <w:vertAlign w:val="superscript"/>
          <w:rtl/>
        </w:rPr>
        <w:footnoteReference w:id="94"/>
      </w:r>
      <w:r w:rsidR="00A73078" w:rsidRPr="00402C99">
        <w:rPr>
          <w:rFonts w:ascii="Simplified Arabic" w:hAnsi="Simplified Arabic" w:cs="Simplified Arabic"/>
          <w:sz w:val="28"/>
          <w:szCs w:val="28"/>
          <w:rtl/>
        </w:rPr>
        <w:t>وعرّفه الشيخ الرئيس في الإشارات والتنبيهات بقوله: "علم يتعلم فيه ظروف الانتقالات من أمور حاصلة في ذهن الإنسان إلى أمور مستحصلة"</w:t>
      </w:r>
      <w:r w:rsidR="00A73078" w:rsidRPr="00402C99">
        <w:rPr>
          <w:rFonts w:ascii="Simplified Arabic" w:hAnsi="Simplified Arabic" w:cs="Simplified Arabic"/>
          <w:sz w:val="28"/>
          <w:szCs w:val="28"/>
          <w:vertAlign w:val="superscript"/>
          <w:rtl/>
        </w:rPr>
        <w:footnoteReference w:id="95"/>
      </w:r>
      <w:r w:rsidR="00290D18">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وقوله: "مستحصلة" يعني طلب الحصول على أمور معينة، فصيغة الاستفعال (مستفعلة) تفيد في اللغة العربية معنى الطلب، وعليه يمكن تعريف المنطق بأنه "علم يبحث في قوانين الانتقالات من أقوال مسلم بها إلى أقوال مطلوبة" والأقوال قد تكون عبارات ملفوظة أو متواليات مرسومة وعليه فإن هذا التعريف ينطبق على المنطق في صورته القديمة أو في صورته الحديثة والمعاصرة</w:t>
      </w:r>
      <w:r w:rsidR="00A73078" w:rsidRPr="00402C99">
        <w:rPr>
          <w:rFonts w:ascii="Simplified Arabic" w:hAnsi="Simplified Arabic" w:cs="Simplified Arabic"/>
          <w:sz w:val="28"/>
          <w:szCs w:val="28"/>
          <w:vertAlign w:val="superscript"/>
          <w:rtl/>
        </w:rPr>
        <w:footnoteReference w:id="96"/>
      </w:r>
      <w:r w:rsidR="00290D18">
        <w:rPr>
          <w:rFonts w:ascii="Simplified Arabic" w:hAnsi="Simplified Arabic" w:cs="Simplified Arabic" w:hint="cs"/>
          <w:sz w:val="28"/>
          <w:szCs w:val="28"/>
          <w:rtl/>
        </w:rPr>
        <w:t>.</w:t>
      </w:r>
    </w:p>
    <w:p w:rsidR="00290D18"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وقد تفطن بعض المناطقة المسلمين إلى أهمية هذه المفاهيم الثلاثة: القول والانتقال والطلب، بحيث جاؤوا بمصطلح منطقي جديد يجمع بينها ألا وهو مصطلح "اللزوم". واللزوم لغة يأتي بمعنى التبعية وعدم الانفكاك وعدم المفارقة، فيقال لزم فلان بيته إذا لم يفارقه، ومعنى لزوم شيء عن شيء كون الأول ناشئاً عن الثاني وحاصلاً منه</w:t>
      </w:r>
      <w:r w:rsidR="00A73078" w:rsidRPr="00402C99">
        <w:rPr>
          <w:rFonts w:ascii="Simplified Arabic" w:hAnsi="Simplified Arabic" w:cs="Simplified Arabic"/>
          <w:sz w:val="28"/>
          <w:szCs w:val="28"/>
          <w:vertAlign w:val="superscript"/>
          <w:rtl/>
        </w:rPr>
        <w:footnoteReference w:id="97"/>
      </w:r>
      <w:r w:rsidR="00290D18">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فاللزوم هو انتقال من شيء إلى شيء فنقول لزم شيء من شيء أي تولد منه بنقلة مخصوصة. ويُسمى القول الذي لزم منه قول آخر بـ"الملزوم"، ويُسمى هذا القول الآخر بـ"اللازم". ثم إنّ كلمة "لزوم" تفيد معنى الاقتضاء الذي يتضمن بدوره معنى الطلب، فإذا لزم شيء من شيء فقد اقتضاه –أي استلزمه- هذا الشيء وطلبهُ</w:t>
      </w:r>
      <w:r w:rsidR="00A73078" w:rsidRPr="00402C99">
        <w:rPr>
          <w:rFonts w:ascii="Simplified Arabic" w:hAnsi="Simplified Arabic" w:cs="Simplified Arabic"/>
          <w:sz w:val="28"/>
          <w:szCs w:val="28"/>
          <w:vertAlign w:val="superscript"/>
          <w:rtl/>
        </w:rPr>
        <w:footnoteReference w:id="98"/>
      </w:r>
      <w:r w:rsidR="00290D18">
        <w:rPr>
          <w:rFonts w:ascii="Simplified Arabic" w:hAnsi="Simplified Arabic" w:cs="Simplified Arabic" w:hint="cs"/>
          <w:sz w:val="28"/>
          <w:szCs w:val="28"/>
          <w:rtl/>
        </w:rPr>
        <w:t>.</w:t>
      </w:r>
    </w:p>
    <w:p w:rsidR="00A73078" w:rsidRPr="00402C99" w:rsidRDefault="00290D18" w:rsidP="00290D18">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 وقد وصف شيخ الإسلام ابن تيمية العلاقة الاستدلالية باللزوم بمعنى أنّ كل شيء لزم عنه غيره فإنه يُعد دليلاً وهو ما اصطلح عليه باسم "الملزوم" أما النتيجة اللازمة عنه فقد اصطلح عليها باسم المدلول، يكون وجه الدلالة في الدليل هو أنه متى ثبت الملزوم (الدليل) ثبت اللازم (النتيجة) ومتى انتفى اللازم انتفى الملزوم، وعليه فإن "الحقيقة المعتبرة في كل دليل وبرهان في العالم، هو اللزوم، فمن عرف أنّ هذا لازم، لهدا استُدل بالملزوم على اللازم، وإن لم يذكر لفظ الملزوم ولا تصور معنى هذا اللفظ"</w:t>
      </w:r>
      <w:r w:rsidR="00A73078" w:rsidRPr="00402C99">
        <w:rPr>
          <w:rFonts w:ascii="Simplified Arabic" w:hAnsi="Simplified Arabic" w:cs="Simplified Arabic"/>
          <w:sz w:val="28"/>
          <w:szCs w:val="28"/>
          <w:vertAlign w:val="superscript"/>
          <w:rtl/>
        </w:rPr>
        <w:footnoteReference w:id="99"/>
      </w:r>
      <w:r>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ولم يكتف ابن تيمية بتوسيع العلاقة الاستدلالية بجعلها ذات طبيعة لزومية تشمل القياس الارسطي وغيره من الأدلة المنطقية بل قام بتوسيع اللزوم نفسه بأن جعله شاملاً للزوم البرهاني القطعي وللزوم الحجاجي الظني معاً، بحيث يمكن القول بأن اللزوم البرهاني عنده هو حالة خاصة من اللزوم الحجاجي حيث تتصف هذه الحالة يكون اللزوم فيها يتصف بالوجوب بمعنى أنّ اللازم لا ينفك ولا يتخلف بأي حال من الأحوال عن ملزومه</w:t>
      </w:r>
      <w:r w:rsidR="00A73078" w:rsidRPr="00402C99">
        <w:rPr>
          <w:rFonts w:ascii="Simplified Arabic" w:hAnsi="Simplified Arabic" w:cs="Simplified Arabic"/>
          <w:sz w:val="28"/>
          <w:szCs w:val="28"/>
          <w:vertAlign w:val="superscript"/>
          <w:rtl/>
        </w:rPr>
        <w:footnoteReference w:id="100"/>
      </w:r>
      <w:r w:rsidR="00DC7130">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وبهذا يكون ابن تيمية وقبله بعض الأصوليين سبَّاقين إلى ما استقر عليه المناطقة المحدثون في تعريفهم للمنطق حيث عرفوه بأنّه: "علم اللزوم"، وإذا كان الأمر كذلك فإن منطق اللزوم ينقسم إلى لزوم طبيعي ولزوم صناعي.</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b/>
          <w:bCs/>
          <w:sz w:val="28"/>
          <w:szCs w:val="28"/>
          <w:u w:val="single"/>
          <w:rtl/>
        </w:rPr>
        <w:t>أولاً:</w:t>
      </w:r>
      <w:r w:rsidRPr="00402C99">
        <w:rPr>
          <w:rFonts w:ascii="Simplified Arabic" w:hAnsi="Simplified Arabic" w:cs="Simplified Arabic"/>
          <w:sz w:val="28"/>
          <w:szCs w:val="28"/>
          <w:rtl/>
        </w:rPr>
        <w:t xml:space="preserve"> اللزوم الصناعي </w:t>
      </w:r>
      <w:r w:rsidRPr="00DC7130">
        <w:rPr>
          <w:rFonts w:asciiTheme="majorBidi" w:hAnsiTheme="majorBidi" w:cstheme="majorBidi"/>
          <w:sz w:val="28"/>
          <w:szCs w:val="28"/>
          <w:lang w:val="en-US"/>
        </w:rPr>
        <w:t>implicature</w:t>
      </w:r>
      <w:r w:rsidRPr="00402C99">
        <w:rPr>
          <w:rFonts w:ascii="Simplified Arabic" w:hAnsi="Simplified Arabic" w:cs="Simplified Arabic"/>
          <w:sz w:val="28"/>
          <w:szCs w:val="28"/>
          <w:lang w:val="en-US"/>
        </w:rPr>
        <w:t xml:space="preserve"> </w:t>
      </w:r>
      <w:r w:rsidRPr="00DC7130">
        <w:rPr>
          <w:rFonts w:asciiTheme="majorBidi" w:hAnsiTheme="majorBidi" w:cstheme="majorBidi"/>
          <w:sz w:val="28"/>
          <w:szCs w:val="28"/>
          <w:lang w:val="en-US"/>
        </w:rPr>
        <w:t>formelle</w:t>
      </w:r>
      <w:r w:rsidRPr="00402C99">
        <w:rPr>
          <w:rFonts w:ascii="Simplified Arabic" w:hAnsi="Simplified Arabic" w:cs="Simplified Arabic"/>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هو انبناء قول مجهول على قول أو أقوال معلومة على مقتضى صور هذه الأقوال وحدها. والخصائص التي يتميز بها الاستلزام الصناعي هي خصائص صورية وصفها أهلها بالبنيوية، وهي كالآتي</w:t>
      </w:r>
      <w:r w:rsidR="00A73078" w:rsidRPr="00402C99">
        <w:rPr>
          <w:rFonts w:ascii="Simplified Arabic" w:hAnsi="Simplified Arabic" w:cs="Simplified Arabic"/>
          <w:sz w:val="28"/>
          <w:szCs w:val="28"/>
          <w:vertAlign w:val="superscript"/>
          <w:rtl/>
        </w:rPr>
        <w:footnoteReference w:id="101"/>
      </w:r>
      <w:r w:rsidR="00A73078" w:rsidRPr="00402C99">
        <w:rPr>
          <w:rFonts w:ascii="Simplified Arabic" w:hAnsi="Simplified Arabic" w:cs="Simplified Arabic"/>
          <w:sz w:val="28"/>
          <w:szCs w:val="28"/>
          <w:rtl/>
        </w:rPr>
        <w:t>:</w:t>
      </w:r>
    </w:p>
    <w:p w:rsidR="00A73078" w:rsidRPr="00402C99" w:rsidRDefault="00A73078" w:rsidP="00333242">
      <w:pPr>
        <w:numPr>
          <w:ilvl w:val="0"/>
          <w:numId w:val="6"/>
        </w:numPr>
        <w:tabs>
          <w:tab w:val="num" w:pos="93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خاصية الاختصار</w:t>
      </w:r>
      <w:r w:rsidRPr="00402C99">
        <w:rPr>
          <w:rFonts w:ascii="Simplified Arabic" w:hAnsi="Simplified Arabic" w:cs="Simplified Arabic"/>
          <w:sz w:val="28"/>
          <w:szCs w:val="28"/>
          <w:vertAlign w:val="superscript"/>
          <w:rtl/>
        </w:rPr>
        <w:footnoteReference w:id="102"/>
      </w:r>
      <w:r w:rsidRPr="004F75E3">
        <w:rPr>
          <w:rFonts w:asciiTheme="majorBidi" w:hAnsiTheme="majorBidi" w:cstheme="majorBidi"/>
          <w:sz w:val="24"/>
          <w:szCs w:val="24"/>
          <w:lang w:val="en-US"/>
        </w:rPr>
        <w:t>La simplification</w:t>
      </w:r>
      <w:r w:rsidRPr="00402C99">
        <w:rPr>
          <w:rFonts w:ascii="Simplified Arabic" w:hAnsi="Simplified Arabic" w:cs="Simplified Arabic"/>
          <w:sz w:val="28"/>
          <w:szCs w:val="28"/>
          <w:rtl/>
        </w:rPr>
        <w:t>: كل قول مكرر في مقدم الاستلزام يمكن حذفه.</w:t>
      </w:r>
    </w:p>
    <w:p w:rsidR="00A73078" w:rsidRPr="00402C99" w:rsidRDefault="00A73078" w:rsidP="00333242">
      <w:pPr>
        <w:numPr>
          <w:ilvl w:val="0"/>
          <w:numId w:val="6"/>
        </w:numPr>
        <w:tabs>
          <w:tab w:val="num" w:pos="93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 xml:space="preserve">خاصية الإسقاط </w:t>
      </w:r>
      <w:r w:rsidRPr="004F75E3">
        <w:rPr>
          <w:rFonts w:asciiTheme="majorBidi" w:hAnsiTheme="majorBidi" w:cstheme="majorBidi"/>
          <w:sz w:val="24"/>
          <w:szCs w:val="24"/>
          <w:lang w:val="en-US"/>
        </w:rPr>
        <w:t>La projection</w:t>
      </w:r>
      <w:r w:rsidRPr="00402C99">
        <w:rPr>
          <w:rFonts w:ascii="Simplified Arabic" w:hAnsi="Simplified Arabic" w:cs="Simplified Arabic"/>
          <w:sz w:val="28"/>
          <w:szCs w:val="28"/>
          <w:rtl/>
        </w:rPr>
        <w:t>: وهي كل مجموعة من الأقوال تستلزم كل قول منها.</w:t>
      </w:r>
    </w:p>
    <w:p w:rsidR="00A73078" w:rsidRPr="00402C99" w:rsidRDefault="00A73078" w:rsidP="00333242">
      <w:pPr>
        <w:numPr>
          <w:ilvl w:val="0"/>
          <w:numId w:val="6"/>
        </w:numPr>
        <w:tabs>
          <w:tab w:val="num" w:pos="93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 xml:space="preserve">خاصية القلب </w:t>
      </w:r>
      <w:r w:rsidRPr="004F75E3">
        <w:rPr>
          <w:rFonts w:asciiTheme="majorBidi" w:hAnsiTheme="majorBidi" w:cstheme="majorBidi"/>
          <w:sz w:val="24"/>
          <w:szCs w:val="24"/>
          <w:lang w:val="en-US"/>
        </w:rPr>
        <w:t>La permutation</w:t>
      </w:r>
      <w:r w:rsidRPr="00402C99">
        <w:rPr>
          <w:rFonts w:ascii="Simplified Arabic" w:hAnsi="Simplified Arabic" w:cs="Simplified Arabic"/>
          <w:sz w:val="28"/>
          <w:szCs w:val="28"/>
          <w:rtl/>
        </w:rPr>
        <w:t>: كل ترتيب للأقوال في مقدم الاستلزام يمكن تغييره.</w:t>
      </w:r>
    </w:p>
    <w:p w:rsidR="00A73078" w:rsidRPr="00402C99" w:rsidRDefault="00A73078" w:rsidP="00333242">
      <w:pPr>
        <w:numPr>
          <w:ilvl w:val="0"/>
          <w:numId w:val="6"/>
        </w:numPr>
        <w:tabs>
          <w:tab w:val="num" w:pos="932"/>
        </w:tabs>
        <w:autoSpaceDE w:val="0"/>
        <w:autoSpaceDN w:val="0"/>
        <w:bidi/>
        <w:adjustRightInd w:val="0"/>
        <w:spacing w:after="0" w:line="240" w:lineRule="auto"/>
        <w:ind w:left="-1" w:firstLine="0"/>
        <w:jc w:val="both"/>
        <w:rPr>
          <w:rFonts w:ascii="Simplified Arabic" w:hAnsi="Simplified Arabic" w:cs="Simplified Arabic"/>
          <w:sz w:val="28"/>
          <w:szCs w:val="28"/>
          <w:lang w:val="en-US"/>
        </w:rPr>
      </w:pPr>
      <w:r w:rsidRPr="00402C99">
        <w:rPr>
          <w:rFonts w:ascii="Simplified Arabic" w:hAnsi="Simplified Arabic" w:cs="Simplified Arabic"/>
          <w:sz w:val="28"/>
          <w:szCs w:val="28"/>
          <w:rtl/>
        </w:rPr>
        <w:t xml:space="preserve">خاصية القطع </w:t>
      </w:r>
      <w:r w:rsidRPr="004F75E3">
        <w:rPr>
          <w:rFonts w:asciiTheme="majorBidi" w:hAnsiTheme="majorBidi" w:cstheme="majorBidi"/>
          <w:sz w:val="24"/>
          <w:szCs w:val="24"/>
          <w:lang w:val="en-US"/>
        </w:rPr>
        <w:t>La coupure</w:t>
      </w:r>
      <w:r w:rsidRPr="00402C99">
        <w:rPr>
          <w:rFonts w:ascii="Simplified Arabic" w:hAnsi="Simplified Arabic" w:cs="Simplified Arabic"/>
          <w:sz w:val="28"/>
          <w:szCs w:val="28"/>
          <w:rtl/>
        </w:rPr>
        <w:t>: كل قول مشترك بين استلزامين بحيث يكون تالياً في أحدهما وجزءاً من مقدم الثاني يمكن حذفه.</w:t>
      </w:r>
    </w:p>
    <w:p w:rsidR="00A73078" w:rsidRPr="00402C99" w:rsidRDefault="004F75E3" w:rsidP="004F75E3">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وواضح من هذه الخصائص الأربعة أنها لا تستوعب كل أنواع الاستلزام، فإن كانت لها فائدة في المجالين المنطقي والرياضي، فإنها لا تستوعب كل الاستلزامات الأخرى في مجالات معرفية غير المنطقية ولا الرياضية</w:t>
      </w:r>
      <w:r w:rsidR="00A73078" w:rsidRPr="00402C99">
        <w:rPr>
          <w:rFonts w:ascii="Simplified Arabic" w:hAnsi="Simplified Arabic" w:cs="Simplified Arabic"/>
          <w:sz w:val="28"/>
          <w:szCs w:val="28"/>
          <w:vertAlign w:val="superscript"/>
          <w:rtl/>
        </w:rPr>
        <w:footnoteReference w:id="103"/>
      </w:r>
      <w:r w:rsidR="00A73078" w:rsidRPr="00402C99">
        <w:rPr>
          <w:rFonts w:ascii="Simplified Arabic" w:hAnsi="Simplified Arabic" w:cs="Simplified Arabic"/>
          <w:sz w:val="28"/>
          <w:szCs w:val="28"/>
          <w:rtl/>
        </w:rPr>
        <w:t xml:space="preserve"> والتي توظف الل</w:t>
      </w:r>
      <w:r>
        <w:rPr>
          <w:rFonts w:ascii="Simplified Arabic" w:hAnsi="Simplified Arabic" w:cs="Simplified Arabic"/>
          <w:sz w:val="28"/>
          <w:szCs w:val="28"/>
          <w:rtl/>
        </w:rPr>
        <w:t>غة الطبيعية في التعبير عن نفسها</w:t>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فالاستلزام الصناعي غيره الاستلزام الطبيعي في استقلاله وعدم تقيده بشروط اللسان الطبيعي كدلالة المضامين التي تلازم صور الأقوال، والتداول الذي هو مجموع الاستعمالات التي ترد بها الأقوال في مختلف مقامات الكلام وسياقاته، فلا وجود لقول طبيعي على قانون الصورة وحدها، بل يجب اعتبار ما يحمله القول من معنى بحسب مقتضى الحال بحيث يكون المضمون تابعاً للاستعمال وتكون الصورة تابعة لهذا المضمون المستعمل، فالدلالة والتداول –</w:t>
      </w:r>
      <w:r w:rsidR="00DC7130">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أي المضمون واستعماله- في القول الصناعي تابعين للتركيب على عكس مقتضى التبعية في اللسان الطبيعي حيث الصورة تتبع المضمون المستعمل أي الدلالة التداولية، ففي القول الصناعي تكون الدلاليات الصورية تابعة ومبنية على التركيبات الصورية</w:t>
      </w:r>
      <w:r w:rsidR="00A73078" w:rsidRPr="00402C99">
        <w:rPr>
          <w:rFonts w:ascii="Simplified Arabic" w:hAnsi="Simplified Arabic" w:cs="Simplified Arabic"/>
          <w:sz w:val="28"/>
          <w:szCs w:val="28"/>
          <w:vertAlign w:val="superscript"/>
          <w:rtl/>
        </w:rPr>
        <w:footnoteReference w:id="104"/>
      </w:r>
      <w:r w:rsidR="00DC7130">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b/>
          <w:bCs/>
          <w:sz w:val="28"/>
          <w:szCs w:val="28"/>
          <w:u w:val="single"/>
          <w:rtl/>
          <w:lang w:bidi="ar-LB"/>
        </w:rPr>
        <w:t>ثانياً</w:t>
      </w:r>
      <w:r w:rsidRPr="00402C99">
        <w:rPr>
          <w:rFonts w:ascii="Simplified Arabic" w:hAnsi="Simplified Arabic" w:cs="Simplified Arabic"/>
          <w:sz w:val="28"/>
          <w:szCs w:val="28"/>
          <w:rtl/>
          <w:lang w:bidi="ar-LB"/>
        </w:rPr>
        <w:t xml:space="preserve">: اللزوم الطبيعي </w:t>
      </w:r>
      <w:r w:rsidRPr="004F75E3">
        <w:rPr>
          <w:rFonts w:asciiTheme="majorBidi" w:hAnsiTheme="majorBidi" w:cstheme="majorBidi"/>
          <w:sz w:val="24"/>
          <w:szCs w:val="24"/>
          <w:lang w:val="en-US"/>
        </w:rPr>
        <w:t>L'implicature naturelle</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كلّ قول طبيعي يحمل إمكانات لزومية مختلفة كالاستلزامات المتولدة من معاني مفردات اللغة الطبيعية والاستلزامات المتولدة من البنية الدلالية لهذه اللغة، وأخيراً الاستلزامات المتولدة من سياقات هذا القول الطبيعي ومن المبادئ العامة للتخاطب: هو لزوم طبيعي فالاستلزام في اللغة يستند إلى المضمون الدلالي لهذه اللغة، إلا أنّ هذا الاستناد ينقسم قسمين: الاستناد إلى الدلالة المجردة من المقام والسياق، والاستناد الثاني هو المستند إلى الدلالة المقيدة بالمقام والسياق</w:t>
      </w:r>
      <w:r w:rsidR="00A73078" w:rsidRPr="00402C99">
        <w:rPr>
          <w:rFonts w:ascii="Simplified Arabic" w:hAnsi="Simplified Arabic" w:cs="Simplified Arabic"/>
          <w:sz w:val="28"/>
          <w:szCs w:val="28"/>
          <w:vertAlign w:val="superscript"/>
          <w:rtl/>
        </w:rPr>
        <w:footnoteReference w:id="105"/>
      </w:r>
      <w:r w:rsidR="00A73078" w:rsidRPr="00402C99">
        <w:rPr>
          <w:rFonts w:ascii="Simplified Arabic" w:hAnsi="Simplified Arabic" w:cs="Simplified Arabic"/>
          <w:sz w:val="28"/>
          <w:szCs w:val="28"/>
          <w:rtl/>
        </w:rPr>
        <w:t>:</w:t>
      </w:r>
    </w:p>
    <w:p w:rsidR="00A73078" w:rsidRPr="00402C99" w:rsidRDefault="004F75E3" w:rsidP="004F75E3">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C7130">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فالأول يتعلق بالبنية الدلالية لهذا القول الطبيعي وبمع</w:t>
      </w:r>
      <w:r>
        <w:rPr>
          <w:rFonts w:ascii="Simplified Arabic" w:hAnsi="Simplified Arabic" w:cs="Simplified Arabic"/>
          <w:sz w:val="28"/>
          <w:szCs w:val="28"/>
          <w:rtl/>
        </w:rPr>
        <w:t>اني المفردات الداخلة في تركيبها</w:t>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والثاني والذي يستند إلى الدلالة المقيدة ويتجلى هذا القسم في الاستلزامات التي تعلقت بالبنية الاستعمالية أي التداولية</w:t>
      </w:r>
      <w:r w:rsidR="00A73078" w:rsidRPr="00402C99">
        <w:rPr>
          <w:rFonts w:ascii="Simplified Arabic" w:hAnsi="Simplified Arabic" w:cs="Simplified Arabic"/>
          <w:sz w:val="28"/>
          <w:szCs w:val="28"/>
          <w:vertAlign w:val="superscript"/>
          <w:rtl/>
        </w:rPr>
        <w:footnoteReference w:id="106"/>
      </w:r>
      <w:r w:rsidR="00DC7130">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والمنطق سواءً أكان صناعياً أم كان طبيعياً فهو بحث في علاقة تجمع بين أوصاف ثلاثة: القول والانتقال والطلب، وقد جمعها نظار الإسلام في مصطلح واحد جامع للتعبير عن هذه العلاقة الإنبنائية الثلاثية وهذا المصطلح هو الاستلزام أو اللزوم، إلا أنّ فريغُه </w:t>
      </w:r>
      <w:r w:rsidRPr="004F75E3">
        <w:rPr>
          <w:rFonts w:asciiTheme="majorBidi" w:hAnsiTheme="majorBidi" w:cstheme="majorBidi"/>
          <w:sz w:val="24"/>
          <w:szCs w:val="24"/>
          <w:lang w:val="en-US"/>
        </w:rPr>
        <w:t>G. Frege</w:t>
      </w:r>
      <w:r w:rsidRPr="00402C99">
        <w:rPr>
          <w:rFonts w:ascii="Simplified Arabic" w:hAnsi="Simplified Arabic" w:cs="Simplified Arabic"/>
          <w:sz w:val="28"/>
          <w:szCs w:val="28"/>
          <w:rtl/>
        </w:rPr>
        <w:t>، في محاولته إقامة المنطق على أسس جديدة، وجد أنّه لا يمكن أن يقتصر التحليل المنطقي على مبادئ المنطق التقليدي ومفاهيمه الأساسية للخروج بأفكار منطقية جديدة، بل لا بد أنّ تكون هناك محاولات تقوم بتحليل منطقي للغة انطلاقاً من الأسس المنطقية الجديدة. ووجد فريغُه، ومن دار في فلكه، من ذلك التحليل أنّ اللغة الطبيعية لم تعد تصلح للتعبير عن قضايا المنطق، وأنّ المنطق بحاجة إلى لغة رمزية خاصة به، وذلك راجع إلى أنّ ألفاظ هذه اللغة تحتمل أكثر من معنى وأنّ الناس يختلفون حول ما تعنيه الجمل والكلمات. أما لغة الرموز فإنّ رموزها لا تحتمل سوى معنى واحد فقط، ذلك أنّ الثوابت المنطقية لا تحتمل إلا معنى واحد</w:t>
      </w:r>
      <w:r w:rsidRPr="00402C99">
        <w:rPr>
          <w:rFonts w:ascii="Simplified Arabic" w:hAnsi="Simplified Arabic" w:cs="Simplified Arabic"/>
          <w:sz w:val="28"/>
          <w:szCs w:val="28"/>
          <w:vertAlign w:val="superscript"/>
          <w:rtl/>
        </w:rPr>
        <w:footnoteReference w:id="107"/>
      </w:r>
      <w:r w:rsidR="00DC7130">
        <w:rPr>
          <w:rFonts w:ascii="Simplified Arabic" w:hAnsi="Simplified Arabic" w:cs="Simplified Arabic" w:hint="cs"/>
          <w:sz w:val="28"/>
          <w:szCs w:val="28"/>
          <w:rtl/>
        </w:rPr>
        <w:t>.</w:t>
      </w:r>
    </w:p>
    <w:p w:rsidR="00A73078" w:rsidRPr="00402C99" w:rsidRDefault="00DC7130"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ثمّ إنّ اللغة الرمزية بحسب أصحاب المنطق الرياضي تتيح للمنطق إمكان اشتقاق قضايا جديدة من قضايا معلومة بسهولة، ذلك أنّ اللغة الطبيعية لا تصلح عندما يصل الأمر إلى الاشتقاقات المعقدة والطويلة</w:t>
      </w:r>
      <w:r w:rsidR="00A73078" w:rsidRPr="00402C99">
        <w:rPr>
          <w:rFonts w:ascii="Simplified Arabic" w:hAnsi="Simplified Arabic" w:cs="Simplified Arabic"/>
          <w:sz w:val="28"/>
          <w:szCs w:val="28"/>
          <w:vertAlign w:val="superscript"/>
          <w:rtl/>
        </w:rPr>
        <w:footnoteReference w:id="108"/>
      </w:r>
      <w:r>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وتحت تأثير الطابع الصوري للمنطق كانت جلُّ الدراسات المبكرة تنظر إلى اللغة الطبيعية نظرة سلبية لكونها تنطوي –في نظرهم- على الكثير من العيوب التي تشوش على دلالة العبارات فيها، ومن هنا قامت الدعوات إلى بناء لغة مثالية غنية بالروابط المنطقية </w:t>
      </w:r>
      <w:r w:rsidR="00A73078" w:rsidRPr="00402C99">
        <w:rPr>
          <w:rFonts w:ascii="Simplified Arabic" w:hAnsi="Simplified Arabic" w:cs="Simplified Arabic"/>
          <w:sz w:val="28"/>
          <w:szCs w:val="28"/>
          <w:lang w:val="en-US"/>
        </w:rPr>
        <w:t>Les connecteurs logiques</w:t>
      </w:r>
      <w:r w:rsidR="00A73078" w:rsidRPr="00402C99">
        <w:rPr>
          <w:rFonts w:ascii="Simplified Arabic" w:hAnsi="Simplified Arabic" w:cs="Simplified Arabic"/>
          <w:sz w:val="28"/>
          <w:szCs w:val="28"/>
          <w:rtl/>
        </w:rPr>
        <w:t>، يمكننا بواسطة هذه اللغة المثالية بناء جمل وتراكيب واضحة يسهل تحديد قيمتها الصدقية</w:t>
      </w:r>
      <w:r w:rsidR="00A73078" w:rsidRPr="00402C99">
        <w:rPr>
          <w:rFonts w:ascii="Simplified Arabic" w:hAnsi="Simplified Arabic" w:cs="Simplified Arabic"/>
          <w:sz w:val="28"/>
          <w:szCs w:val="28"/>
          <w:vertAlign w:val="superscript"/>
          <w:rtl/>
        </w:rPr>
        <w:footnoteReference w:id="109"/>
      </w:r>
      <w:r>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إنّ هذه النظرة الانتقاصية التهميشية للغة الطبيعية</w:t>
      </w:r>
      <w:r w:rsidR="00A73078" w:rsidRPr="00402C99">
        <w:rPr>
          <w:rFonts w:ascii="Simplified Arabic" w:hAnsi="Simplified Arabic" w:cs="Simplified Arabic"/>
          <w:sz w:val="28"/>
          <w:szCs w:val="28"/>
          <w:vertAlign w:val="superscript"/>
          <w:rtl/>
        </w:rPr>
        <w:footnoteReference w:id="110"/>
      </w:r>
      <w:r w:rsidR="00A73078" w:rsidRPr="00402C99">
        <w:rPr>
          <w:rFonts w:ascii="Simplified Arabic" w:hAnsi="Simplified Arabic" w:cs="Simplified Arabic"/>
          <w:sz w:val="28"/>
          <w:szCs w:val="28"/>
          <w:rtl/>
        </w:rPr>
        <w:t>أدّت إلى ظهور تيار معارض ينتقد طروحات أصحاب الفلسفة الوضعية والنـزعة المنطقية الصورية، من فريغُه ورَسل إلى تارسكي وكرناب وفتغنشتاين؛ حيث أكّد أصحاب هذا التيار المعارض أنّ هذه التصورات بإزاء اللغة الطبيعية لا تحكمها في الحقيقة إلا الغايات الفلسفية الوضعانية من جهة وأنّ تلك الطرق المنطقية التي اتبعها أصحابها متكلفة ولا تناسب طريقة عمل اللغة الطبيعية من جهة أخرى.</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ثم إنّ محاولة كرناب </w:t>
      </w:r>
      <w:r w:rsidR="00A73078" w:rsidRPr="004F75E3">
        <w:rPr>
          <w:rFonts w:asciiTheme="majorBidi" w:hAnsiTheme="majorBidi" w:cstheme="majorBidi"/>
          <w:sz w:val="24"/>
          <w:szCs w:val="24"/>
          <w:lang w:val="en-US"/>
        </w:rPr>
        <w:t>Rudolf</w:t>
      </w:r>
      <w:r w:rsidR="00A73078" w:rsidRPr="00402C99">
        <w:rPr>
          <w:rFonts w:ascii="Simplified Arabic" w:hAnsi="Simplified Arabic" w:cs="Simplified Arabic"/>
          <w:sz w:val="28"/>
          <w:szCs w:val="28"/>
          <w:lang w:val="en-US"/>
        </w:rPr>
        <w:t xml:space="preserve">. </w:t>
      </w:r>
      <w:r w:rsidR="00A73078" w:rsidRPr="004F75E3">
        <w:rPr>
          <w:rFonts w:asciiTheme="majorBidi" w:hAnsiTheme="majorBidi" w:cstheme="majorBidi"/>
          <w:sz w:val="24"/>
          <w:szCs w:val="24"/>
          <w:lang w:val="en-US"/>
        </w:rPr>
        <w:t>Carnap</w:t>
      </w:r>
      <w:r w:rsidR="00A73078" w:rsidRPr="00402C99">
        <w:rPr>
          <w:rFonts w:ascii="Simplified Arabic" w:hAnsi="Simplified Arabic" w:cs="Simplified Arabic"/>
          <w:sz w:val="28"/>
          <w:szCs w:val="28"/>
          <w:rtl/>
        </w:rPr>
        <w:t xml:space="preserve"> وغيره من فلاسفة المنطق الوضعي، كانت تهدف إلى وضع فلسفة جديدة منفصلة عن الميتافزيقيا لا تستخدم الأسلوب العادي الطبيعي للكلام الذي يعرّض اللغة الفلسفية إلى مشكلات كبيرة ناتجة عن سوء الفهم والتعبير، فالفلسفة مع كرناب أصبحت لا تستطيع التحدث عن القضايا المتعلقة بالمعرفة والوجود والقيم باعتبار أنّ هذه الأمور تقع خارج المنطق</w:t>
      </w:r>
      <w:r w:rsidR="00A73078" w:rsidRPr="00402C99">
        <w:rPr>
          <w:rFonts w:ascii="Simplified Arabic" w:hAnsi="Simplified Arabic" w:cs="Simplified Arabic"/>
          <w:sz w:val="28"/>
          <w:szCs w:val="28"/>
          <w:vertAlign w:val="superscript"/>
          <w:rtl/>
        </w:rPr>
        <w:footnoteReference w:id="111"/>
      </w:r>
      <w:r w:rsidR="00DC7130">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والواقع أنّ العلاقة بين المنطق والميتافزيقا أعقد وأعمق بكثير مما ذهب إليه أصحاب الفلسفة الوضعية، ذلك أنّ عملية اختيار الطريقة المنطقية الصورية في التفكير الفلسفي هو بحد ذاته اختبار تحكمي </w:t>
      </w:r>
      <w:r w:rsidRPr="004F75E3">
        <w:rPr>
          <w:rFonts w:asciiTheme="majorBidi" w:hAnsiTheme="majorBidi" w:cstheme="majorBidi"/>
          <w:sz w:val="24"/>
          <w:szCs w:val="24"/>
          <w:lang w:val="en-US"/>
        </w:rPr>
        <w:t>Arbitraire</w:t>
      </w:r>
      <w:r w:rsidRPr="00402C99">
        <w:rPr>
          <w:rFonts w:ascii="Simplified Arabic" w:hAnsi="Simplified Arabic" w:cs="Simplified Arabic"/>
          <w:sz w:val="28"/>
          <w:szCs w:val="28"/>
          <w:rtl/>
        </w:rPr>
        <w:t xml:space="preserve"> تحكم الميتافزيقا باعتباره اختبار تقريري بحت ليس هناك إمكانية للبرهنة عليه منطقياً.</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rPr>
        <w:t>فلا يمكن للفيلسوف أن يفصل في نسقه الفلسفي، مهما بلغ من التعقيد والصورية، بين المنهج والمذهب، لأنّ تحديد المقدمات لكل فلسفة مسألة اختيارية-تقريرية وليست ضرورية، أما المنهج فإنه يستمد مبررات خطواته من المذهب أي من الميتافزيقا. من هنا يمكن القول إنّه من الصعب الفصل بين المنطق والميتافزيقا لأسباب منطقية، وإنما الفصل أو محاولة الفصل تتم لأسباب ميتافزيقية، والميتافزيقا تتضمن معتقدات ومعارف وتبريرات وتقريرات ولا توجد هناك براهين.</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فإذا كانت الفلسفة الوضعية والتحليلية لا يهمها من اللغة إلا وظيفتها في خدمة الممارسة العلمية فإنّ اللغة الطبيعية تؤدي أدواراً أهمّ من كونها أداة للعلم، فيمكننا فهم عباراتها من دون حاجة إلى تحليلها، إذ إنّ الكثير من الاستدلالات والعمليات الحجاجية التي تصاغ في اللغة الطبيعية تتميز بالصحة، وإن كان تحليلها يحتاج إلى منطق أكثر تعقيداً من منطق اللغة الصورية المبسط، وهذه الحقيقة تمثل مظهراً غنياً في اللغة الطبيعية، لأنها تمكننا من التغلغل في أعماق الواقع الإنساني بكل تعقيداته وتشعباته</w:t>
      </w:r>
      <w:r w:rsidR="00A73078" w:rsidRPr="00402C99">
        <w:rPr>
          <w:rFonts w:ascii="Simplified Arabic" w:hAnsi="Simplified Arabic" w:cs="Simplified Arabic"/>
          <w:sz w:val="28"/>
          <w:szCs w:val="28"/>
          <w:vertAlign w:val="superscript"/>
          <w:rtl/>
        </w:rPr>
        <w:footnoteReference w:id="112"/>
      </w:r>
      <w:r w:rsidR="00DC7130">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وقد دافع عن هذا التصور فلاسفة اللغة بدءاً من رواد نظرية أفعال الكلام </w:t>
      </w:r>
      <w:r w:rsidR="00A73078" w:rsidRPr="004F75E3">
        <w:rPr>
          <w:rFonts w:asciiTheme="majorBidi" w:hAnsiTheme="majorBidi" w:cstheme="majorBidi"/>
          <w:sz w:val="24"/>
          <w:szCs w:val="24"/>
          <w:lang w:val="en-US"/>
        </w:rPr>
        <w:t>Les actes de langage</w:t>
      </w:r>
      <w:r w:rsidR="00A73078" w:rsidRPr="00402C99">
        <w:rPr>
          <w:rFonts w:ascii="Simplified Arabic" w:hAnsi="Simplified Arabic" w:cs="Simplified Arabic"/>
          <w:sz w:val="28"/>
          <w:szCs w:val="28"/>
          <w:rtl/>
        </w:rPr>
        <w:t xml:space="preserve">، أوستين </w:t>
      </w:r>
      <w:r w:rsidR="00A73078" w:rsidRPr="004F75E3">
        <w:rPr>
          <w:rFonts w:asciiTheme="majorBidi" w:hAnsiTheme="majorBidi" w:cstheme="majorBidi"/>
          <w:sz w:val="24"/>
          <w:szCs w:val="24"/>
          <w:lang w:val="en-US"/>
        </w:rPr>
        <w:t>John</w:t>
      </w:r>
      <w:r w:rsidR="00A73078" w:rsidRPr="00402C99">
        <w:rPr>
          <w:rFonts w:ascii="Simplified Arabic" w:hAnsi="Simplified Arabic" w:cs="Simplified Arabic"/>
          <w:sz w:val="28"/>
          <w:szCs w:val="28"/>
          <w:lang w:val="en-US"/>
        </w:rPr>
        <w:t xml:space="preserve"> </w:t>
      </w:r>
      <w:r>
        <w:rPr>
          <w:rFonts w:ascii="Simplified Arabic" w:hAnsi="Simplified Arabic" w:cs="Simplified Arabic"/>
          <w:sz w:val="28"/>
          <w:szCs w:val="28"/>
          <w:lang w:val="en-US"/>
        </w:rPr>
        <w:t xml:space="preserve"> </w:t>
      </w:r>
      <w:r w:rsidR="00A73078" w:rsidRPr="004F75E3">
        <w:rPr>
          <w:rFonts w:asciiTheme="majorBidi" w:hAnsiTheme="majorBidi" w:cstheme="majorBidi"/>
          <w:sz w:val="24"/>
          <w:szCs w:val="24"/>
          <w:lang w:val="en-US"/>
        </w:rPr>
        <w:t>Austin</w:t>
      </w:r>
      <w:r w:rsidR="00A73078" w:rsidRPr="004F75E3">
        <w:rPr>
          <w:rFonts w:asciiTheme="majorBidi" w:hAnsiTheme="majorBidi" w:cstheme="majorBidi"/>
          <w:sz w:val="24"/>
          <w:szCs w:val="24"/>
          <w:rtl/>
        </w:rPr>
        <w:t>وسورل</w:t>
      </w:r>
      <w:r w:rsidR="00A73078" w:rsidRPr="004F75E3">
        <w:rPr>
          <w:rFonts w:asciiTheme="majorBidi" w:hAnsiTheme="majorBidi" w:cstheme="majorBidi"/>
          <w:sz w:val="24"/>
          <w:szCs w:val="24"/>
          <w:lang w:val="en-US"/>
        </w:rPr>
        <w:t>J. R. Searle</w:t>
      </w:r>
      <w:r w:rsidR="00A73078" w:rsidRPr="00402C99">
        <w:rPr>
          <w:rFonts w:ascii="Simplified Arabic" w:hAnsi="Simplified Arabic" w:cs="Simplified Arabic"/>
          <w:sz w:val="28"/>
          <w:szCs w:val="28"/>
          <w:rtl/>
        </w:rPr>
        <w:t xml:space="preserve"> وكرايس </w:t>
      </w:r>
      <w:r w:rsidR="00A73078" w:rsidRPr="004F75E3">
        <w:rPr>
          <w:rFonts w:asciiTheme="majorBidi" w:hAnsiTheme="majorBidi" w:cstheme="majorBidi"/>
          <w:sz w:val="24"/>
          <w:szCs w:val="24"/>
          <w:lang w:val="en-US"/>
        </w:rPr>
        <w:t>P. Grice</w:t>
      </w:r>
      <w:r w:rsidR="00A73078" w:rsidRPr="00402C99">
        <w:rPr>
          <w:rFonts w:ascii="Simplified Arabic" w:hAnsi="Simplified Arabic" w:cs="Simplified Arabic"/>
          <w:sz w:val="28"/>
          <w:szCs w:val="28"/>
          <w:rtl/>
        </w:rPr>
        <w:t>، وكل أقطاب النظرية التلفظية</w:t>
      </w:r>
      <w:r w:rsidR="00A73078" w:rsidRPr="004F75E3">
        <w:rPr>
          <w:rFonts w:asciiTheme="majorBidi" w:hAnsiTheme="majorBidi" w:cstheme="majorBidi"/>
          <w:sz w:val="24"/>
          <w:szCs w:val="24"/>
          <w:lang w:val="en-US"/>
        </w:rPr>
        <w:t>La théorie de L'enonciation</w:t>
      </w:r>
      <w:r w:rsidR="00A73078" w:rsidRPr="00402C99">
        <w:rPr>
          <w:rFonts w:ascii="Simplified Arabic" w:hAnsi="Simplified Arabic" w:cs="Simplified Arabic"/>
          <w:sz w:val="28"/>
          <w:szCs w:val="28"/>
          <w:rtl/>
        </w:rPr>
        <w:t xml:space="preserve"> باتجاهاتها المختلفة والحجاجيات اللسانية التي تمثل تتويجاً لهذا التوجه</w:t>
      </w:r>
      <w:r w:rsidR="00A73078" w:rsidRPr="00402C99">
        <w:rPr>
          <w:rFonts w:ascii="Simplified Arabic" w:hAnsi="Simplified Arabic" w:cs="Simplified Arabic"/>
          <w:sz w:val="28"/>
          <w:szCs w:val="28"/>
          <w:vertAlign w:val="superscript"/>
          <w:rtl/>
        </w:rPr>
        <w:footnoteReference w:id="113"/>
      </w:r>
      <w:r w:rsidR="007108BD">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ليس المقصود من نقد الفلسفة الوضعية هو رفض المنطق كما هو الشأن عند بعض الكتاب العرب المعاصرين ممن يدعون العمل الفلسفي، والعكس هو الصحيح يجب الاشتغال بالمنطقيات وذلك لإحياء تقليد علمي منهجي إسلامي أصيل وهو العناية بعلوم الآلة أو قل علوم الوسائل في مقابل علوم المقاصد أو علوم الغايات.</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لقد طغت الكتابات ذات الطابع التاريخي والاجتماعي والسياسي والإيديولوجي</w:t>
      </w:r>
      <w:r w:rsidR="00A73078" w:rsidRPr="00402C99">
        <w:rPr>
          <w:rFonts w:ascii="Simplified Arabic" w:hAnsi="Simplified Arabic" w:cs="Simplified Arabic"/>
          <w:sz w:val="28"/>
          <w:szCs w:val="28"/>
          <w:vertAlign w:val="superscript"/>
          <w:rtl/>
        </w:rPr>
        <w:footnoteReference w:id="114"/>
      </w:r>
      <w:r w:rsidR="007108BD">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تحت طابع فلسفي وهي لا تختلف في كثير منها الكتابات العامة التي تتناول أمور تاريخية أو سياسية أو اجتماعية وغيرها. والواقع أنّ هذه الطريقة في الكتابة الفلسفية تضرُّ بالفلسفة أكثر مما تنفعها. ذلك أنّ الفلسفة والتاريخ والسياسة والاجتماع هي مضامين أو قل هي مباحث وموضوعات ولكل موضوع منهج خاص وعليه فلا يمكن أن يزدوج موضوع بموضوع، بل لا بد أن يزدوج الموضوع مع المنهج</w:t>
      </w:r>
      <w:r w:rsidR="00A73078" w:rsidRPr="00402C99">
        <w:rPr>
          <w:rFonts w:ascii="Simplified Arabic" w:hAnsi="Simplified Arabic" w:cs="Simplified Arabic"/>
          <w:sz w:val="28"/>
          <w:szCs w:val="28"/>
          <w:vertAlign w:val="superscript"/>
          <w:rtl/>
        </w:rPr>
        <w:footnoteReference w:id="115"/>
      </w:r>
      <w:r w:rsidR="007108BD">
        <w:rPr>
          <w:rFonts w:ascii="Simplified Arabic" w:hAnsi="Simplified Arabic" w:cs="Simplified Arabic" w:hint="cs"/>
          <w:sz w:val="28"/>
          <w:szCs w:val="28"/>
          <w:rtl/>
        </w:rPr>
        <w:t>.</w:t>
      </w:r>
    </w:p>
    <w:p w:rsidR="00A73078" w:rsidRPr="00402C99" w:rsidRDefault="004F75E3" w:rsidP="004F75E3">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ومنهج الفلسفة بالذات منطقها الذي نشأ معها، فمنذ نشأتها كانت الفلسفة تتوسل بالآلة المنطقية في تقرير قضاياها، فيكون المنطق هو المنهج الذي للفلسفة في الأصل، وإذا صرفت الفلسفة عن منهجها المقرر إلى غيره دلّ ذلك على صرفها عن نفسها والخروج بها إلى غيرها.</w:t>
      </w:r>
      <w:r w:rsidR="00A73078" w:rsidRPr="00402C99">
        <w:rPr>
          <w:rFonts w:ascii="Simplified Arabic" w:hAnsi="Simplified Arabic" w:cs="Simplified Arabic"/>
          <w:sz w:val="28"/>
          <w:szCs w:val="28"/>
          <w:vertAlign w:val="superscript"/>
          <w:rtl/>
        </w:rPr>
        <w:footnoteReference w:id="116"/>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وإذا كان غرض الوضعية المنطقية هو قطع دابر الفلسفة ومحوها، وإبدال المنطق مكانها فإنّ المطلوب هو عكس ذلك أي «ترسيخ قدم الفلسفة بيننا وذلك بإحكام مسالكه، حتى لا نرسل الأحكام على عواهنها ولا نندفع في الكلام بغير حساب، وحتى لا يتطرق القلق إلى مفاهيمنا ولا التداعي إلى بناءاتنا ولا الفساد إلى استنتاجاتنا، كما رسخت قدمه عند المتقدمين من مفكري الإسلام بفضل تمسكهم بالآلة المنطقية، حتى أنّه لا سبيل إلى فهم انتاجهم الفلسفي»</w:t>
      </w:r>
      <w:r w:rsidR="00A73078" w:rsidRPr="00402C99">
        <w:rPr>
          <w:rFonts w:ascii="Simplified Arabic" w:hAnsi="Simplified Arabic" w:cs="Simplified Arabic"/>
          <w:sz w:val="28"/>
          <w:szCs w:val="28"/>
          <w:vertAlign w:val="superscript"/>
          <w:rtl/>
        </w:rPr>
        <w:footnoteReference w:id="117"/>
      </w:r>
      <w:r w:rsidR="007108BD">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والكلامي والأصولي من غير الإلمام بالآليات المنطقية لهذا المنهج.</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lang w:bidi="ar-LB"/>
        </w:rPr>
      </w:pPr>
      <w:r w:rsidRPr="00402C99">
        <w:rPr>
          <w:rFonts w:ascii="Simplified Arabic" w:hAnsi="Simplified Arabic" w:cs="Simplified Arabic"/>
          <w:b/>
          <w:bCs/>
          <w:sz w:val="28"/>
          <w:szCs w:val="28"/>
          <w:rtl/>
        </w:rPr>
        <w:t>4. الخطاب الفلسفي ومكوناته</w:t>
      </w:r>
      <w:r w:rsidRPr="00402C99">
        <w:rPr>
          <w:rFonts w:ascii="Simplified Arabic" w:hAnsi="Simplified Arabic" w:cs="Simplified Arabic"/>
          <w:b/>
          <w:bCs/>
          <w:sz w:val="28"/>
          <w:szCs w:val="28"/>
          <w:rtl/>
          <w:lang w:bidi="ar-LB"/>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 xml:space="preserve">1.4 </w:t>
      </w:r>
      <w:r w:rsidRPr="00402C99">
        <w:rPr>
          <w:rFonts w:ascii="Simplified Arabic" w:hAnsi="Simplified Arabic" w:cs="Simplified Arabic"/>
          <w:b/>
          <w:bCs/>
          <w:sz w:val="28"/>
          <w:szCs w:val="28"/>
          <w:rtl/>
        </w:rPr>
        <w:t>الخطاب الفلسفي</w:t>
      </w:r>
      <w:r w:rsidRPr="00402C99">
        <w:rPr>
          <w:rFonts w:ascii="Simplified Arabic" w:hAnsi="Simplified Arabic" w:cs="Simplified Arabic"/>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تنقسم اللغة الإنسانية إلى طرفين متباينين بينهما أقوال متنوعة: طرف أيمن وطرف أيسر وبينهما أقسام مختلفة يمكن أن نصطلح على الطرف الأيمن باللغة الذوقية أو قل الصوفية والطرف الأيسر نصطلح عليه باللغة الصورية أو قل المنطقية.</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فاللغة الصوفية كما هو معلوم لغة مشبعة بالإشارة بينما اللغة الصورية المنطقية لغة مشبعة بالعبارة، أما الأقسام التي ما بينهما فإنها تتفاوت في عباريتها وإشاريتها، بحيث تأخذ من العبارة نصيب ومن الإشارة نصيب،كلما انتقل القول إلى اليسار أين توجد اللغة الصورية، تناقص نصيبه الإشاري وتزايد نصيبه العباري، والعكس بالعكس أي كلما انتقل القول درجة إلى اليمين، أين توجد اللغة الصوفية، تزايد نصيبه الإشاري وتناقص نصيبه العباري، مما يلزم عنه أنّ اللغة الطبيعية التي يتساوى فيها القول العباري والقول الإشاري، تنزل المنزلة الوسطى بين القول المنطقي والقول الصوفي. انظر الخطاطة البيانية التالي:</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noProof/>
          <w:sz w:val="28"/>
          <w:szCs w:val="28"/>
          <w:lang w:val="en-US"/>
        </w:rPr>
        <w:drawing>
          <wp:inline distT="0" distB="0" distL="0" distR="0">
            <wp:extent cx="5276850" cy="1009650"/>
            <wp:effectExtent l="0" t="0" r="0" b="0"/>
            <wp:docPr id="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6850" cy="1009650"/>
                    </a:xfrm>
                    <a:prstGeom prst="rect">
                      <a:avLst/>
                    </a:prstGeom>
                    <a:noFill/>
                    <a:ln>
                      <a:noFill/>
                    </a:ln>
                  </pic:spPr>
                </pic:pic>
              </a:graphicData>
            </a:graphic>
          </wp:inline>
        </w:drawing>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DZ"/>
        </w:rPr>
        <w:t xml:space="preserve">  </w:t>
      </w:r>
      <w:r w:rsidR="00A73078" w:rsidRPr="00402C99">
        <w:rPr>
          <w:rFonts w:ascii="Simplified Arabic" w:hAnsi="Simplified Arabic" w:cs="Simplified Arabic"/>
          <w:sz w:val="28"/>
          <w:szCs w:val="28"/>
          <w:rtl/>
          <w:lang w:bidi="ar-LB"/>
        </w:rPr>
        <w:t>من خلال هذه الخطاطة أين تقع اللغة الفلسفية؟</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bookmarkStart w:id="9" w:name="_Hlk72953731"/>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من المعلوم أنّ الفلسفة هي أولاً وقبل كل شيء خطاب –</w:t>
      </w:r>
      <w:r w:rsidR="007108BD">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وهو التوجه بالقول إلى المتلقي بغرض إفهامه مقصوداً معيناً- مما يشترط فيه مراعاة وضع المتلقي في الفهم</w:t>
      </w:r>
      <w:bookmarkEnd w:id="9"/>
      <w:r w:rsidR="00A73078" w:rsidRPr="00402C99">
        <w:rPr>
          <w:rFonts w:ascii="Simplified Arabic" w:hAnsi="Simplified Arabic" w:cs="Simplified Arabic"/>
          <w:sz w:val="28"/>
          <w:szCs w:val="28"/>
          <w:vertAlign w:val="superscript"/>
          <w:rtl/>
          <w:lang w:bidi="ar-LB"/>
        </w:rPr>
        <w:footnoteReference w:id="118"/>
      </w:r>
      <w:bookmarkStart w:id="10" w:name="_Hlk72953775"/>
      <w:r w:rsidR="007108BD">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وللخطاب أصول محددة، وما لم يستقم للمتفلسف بناء قوله على هذه الأصول، فلا يمكن أن يطمع في أن يأتي بالإبداع فيه حتى ولو توفرت لهذا الفيلسوف كل الظروف المادية والاجتماعية والتاريخية والثقافية والسياسة، ذلك أنّ الإبداع الفلسفي يتعلق أساساً بإنشاء الخطاب الفلسفي من حيث هو لغة صريحة وفكر عميق.</w:t>
      </w:r>
      <w:bookmarkEnd w:id="10"/>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فاللغة هي المحل الذي يتشكل فيها الخطاب ولا تشكل لهذا الخطاب الفلسفي بغير تأثره بمحله اللغوي. ولما كانت الألسن التي وُضع بها القول الفلسفي متعددة، ولما كان النص في لغة ما غيره في لغة أخرى نظراً لاختلاف أساليب التعبير وأشكال البلاغة باختلاف اللغات، لزم أن يأتي الخطاب الفلسفي على مقتضى نصية هذه اللغة فيُكتب بأساليب هذه اللغة وبأشكالها البلاغية لا على متقضى نصية غيرها، ذلك أنّ النص هو عبارة عن تأليف تحته عمليات تصنيعية مختلفة حيث تتشابك فيه مجموعة من المضامين الفكرية وتتداخل فيه الأشكال التعبيرية وتمتزج فيه العبارة بالإشارة على نحو خاص ووفقاً لقواعد وأساليب محددة. والأصل في الخطاب الفلسفي أن يأتي الاستشكال والاستدلال فيه على وفق الأشكال النصية للسان الذي يوضع به هذا الخطاب</w:t>
      </w:r>
      <w:r w:rsidR="00A73078" w:rsidRPr="00402C99">
        <w:rPr>
          <w:rFonts w:ascii="Simplified Arabic" w:hAnsi="Simplified Arabic" w:cs="Simplified Arabic"/>
          <w:sz w:val="28"/>
          <w:szCs w:val="28"/>
          <w:vertAlign w:val="superscript"/>
          <w:rtl/>
          <w:lang w:bidi="ar-LB"/>
        </w:rPr>
        <w:footnoteReference w:id="119"/>
      </w:r>
      <w:r w:rsidR="007108BD">
        <w:rPr>
          <w:rFonts w:ascii="Simplified Arabic" w:hAnsi="Simplified Arabic" w:cs="Simplified Arabic" w:hint="cs"/>
          <w:sz w:val="28"/>
          <w:szCs w:val="28"/>
          <w:rtl/>
          <w:lang w:bidi="ar-LB"/>
        </w:rPr>
        <w:t>.</w:t>
      </w:r>
    </w:p>
    <w:p w:rsidR="007108BD"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lang w:bidi="ar-LB"/>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واللغة الفلسفية هي غير اللغة المنطقية وإن كانت صلتها بالمنطق تُعدّ من أمتن الصلات وأوثقها، كما بيّنا أعلاه، باعتبار أنّ المنطق هو الوسيلة التي اعتمدتها الفلسفة منذ نشأتها. كما أنّ اللغة الفلسفية هي غير اللغة الصوفية ولو أنّ مشابهتها بها تعدّ من أبرز المشابهات لتناولهما موضوعات ومضامين مشتركة</w:t>
      </w:r>
      <w:r w:rsidR="00A73078" w:rsidRPr="00402C99">
        <w:rPr>
          <w:rFonts w:ascii="Simplified Arabic" w:hAnsi="Simplified Arabic" w:cs="Simplified Arabic"/>
          <w:sz w:val="28"/>
          <w:szCs w:val="28"/>
          <w:vertAlign w:val="superscript"/>
          <w:rtl/>
          <w:lang w:bidi="ar-LB"/>
        </w:rPr>
        <w:footnoteReference w:id="120"/>
      </w:r>
      <w:r w:rsidR="007108BD">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 xml:space="preserve">وعليه فلا تكون اللغة الفلسفية نازلة في أطراف اللغة الإنسانية الأيسر منها أو الأيمن. </w:t>
      </w:r>
    </w:p>
    <w:p w:rsidR="00A73078" w:rsidRPr="00402C99" w:rsidRDefault="007108BD" w:rsidP="007108BD">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lang w:bidi="ar-LB"/>
        </w:rPr>
        <w:t xml:space="preserve">  </w:t>
      </w:r>
      <w:r w:rsidR="00A73078" w:rsidRPr="00402C99">
        <w:rPr>
          <w:rFonts w:ascii="Simplified Arabic" w:hAnsi="Simplified Arabic" w:cs="Simplified Arabic"/>
          <w:sz w:val="28"/>
          <w:szCs w:val="28"/>
          <w:rtl/>
          <w:lang w:bidi="ar-LB"/>
        </w:rPr>
        <w:t>وهذا لا يعني أنّ الاختلاف في الأقوال الإنسانية يترتب عليه أنّ حقيقة التفلسف لا شأن له بالمنطق ولا بالتصوف، ذلك أنّ تاريخ الفلسفة وواقعها ينقضان هذا التصور. فمنذ نشأة الفلسفة كان المنطق آلةً ومدخلاً لها، كما كانت الحكمة موضوعاً وثمرة لها، وإذا كانت الحكمة هي أصلاً مقصد المتصوف فيكون هذا المتصوف مشاركاً للمتفلسف في طلب الحكمة. هكذا كانت محاولة المتفلسف منذ القدم أن يجمع بين الآلية المنطقية وبين المضامين الصوفية</w:t>
      </w:r>
      <w:r w:rsidR="00A73078" w:rsidRPr="00402C99">
        <w:rPr>
          <w:rFonts w:ascii="Simplified Arabic" w:hAnsi="Simplified Arabic" w:cs="Simplified Arabic"/>
          <w:sz w:val="28"/>
          <w:szCs w:val="28"/>
          <w:vertAlign w:val="superscript"/>
          <w:rtl/>
          <w:lang w:bidi="ar-LB"/>
        </w:rPr>
        <w:footnoteReference w:id="121"/>
      </w:r>
      <w:r>
        <w:rPr>
          <w:rFonts w:ascii="Simplified Arabic" w:hAnsi="Simplified Arabic" w:cs="Simplified Arabic" w:hint="cs"/>
          <w:sz w:val="28"/>
          <w:szCs w:val="28"/>
          <w:rtl/>
          <w:lang w:bidi="ar-LB"/>
        </w:rPr>
        <w:t>،</w:t>
      </w:r>
      <w:r w:rsidR="00A73078" w:rsidRPr="00402C99">
        <w:rPr>
          <w:rFonts w:ascii="Simplified Arabic" w:hAnsi="Simplified Arabic" w:cs="Simplified Arabic"/>
          <w:sz w:val="28"/>
          <w:szCs w:val="28"/>
          <w:rtl/>
          <w:lang w:bidi="ar-LB"/>
        </w:rPr>
        <w:t xml:space="preserve"> وهذا ما أراد أن يبيّنه فيلسوف حديث ينتمي إلى المدرسة المنطقية الرياضية ألا وهو برتراند رسل </w:t>
      </w:r>
      <w:r w:rsidR="00A73078" w:rsidRPr="004F75E3">
        <w:rPr>
          <w:rFonts w:asciiTheme="majorBidi" w:hAnsiTheme="majorBidi" w:cstheme="majorBidi"/>
          <w:sz w:val="24"/>
          <w:szCs w:val="24"/>
          <w:lang w:val="en-US" w:bidi="ar-LB"/>
        </w:rPr>
        <w:t>Bertrand</w:t>
      </w:r>
      <w:r w:rsidR="00A73078" w:rsidRPr="00402C99">
        <w:rPr>
          <w:rFonts w:ascii="Simplified Arabic" w:hAnsi="Simplified Arabic" w:cs="Simplified Arabic"/>
          <w:sz w:val="28"/>
          <w:szCs w:val="28"/>
          <w:lang w:val="en-US" w:bidi="ar-LB"/>
        </w:rPr>
        <w:t xml:space="preserve"> </w:t>
      </w:r>
      <w:r w:rsidR="00A73078" w:rsidRPr="004F75E3">
        <w:rPr>
          <w:rFonts w:asciiTheme="majorBidi" w:hAnsiTheme="majorBidi" w:cstheme="majorBidi"/>
          <w:sz w:val="24"/>
          <w:szCs w:val="24"/>
          <w:lang w:val="en-US" w:bidi="ar-LB"/>
        </w:rPr>
        <w:t>Russell</w:t>
      </w:r>
      <w:r w:rsidR="00A73078" w:rsidRPr="00402C99">
        <w:rPr>
          <w:rFonts w:ascii="Simplified Arabic" w:hAnsi="Simplified Arabic" w:cs="Simplified Arabic"/>
          <w:sz w:val="28"/>
          <w:szCs w:val="28"/>
          <w:rtl/>
        </w:rPr>
        <w:t>، في كتابه "التصوف والمنطق"، وكذلك الشأن في الثقافة الإسلامية فقد حاول أبو حامد الغزالي أن يجمع في كتبه ومؤلفاته بين المنطق والتصوف</w:t>
      </w:r>
      <w:r w:rsidR="00A73078" w:rsidRPr="00402C99">
        <w:rPr>
          <w:rFonts w:ascii="Simplified Arabic" w:hAnsi="Simplified Arabic" w:cs="Simplified Arabic"/>
          <w:sz w:val="28"/>
          <w:szCs w:val="28"/>
          <w:vertAlign w:val="superscript"/>
          <w:rtl/>
        </w:rPr>
        <w:footnoteReference w:id="122"/>
      </w:r>
      <w:r>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وعليه فإنّ اللغة الفلسفية وإن اختلفت عن اللغة المنطقية الصورية وعن اللغة الصوفية الذوقية فإنها لا تنفك تستمد من عبارية اللغة الصورية ومن إشارية اللغة الذوقية بحكم أنّ طلب الكمال في التفلسف لا يكون إلا في الوصل بين الآلية المنطقية والمضامين الصوفية، فتكون لغة الفلسفة لا تتمحض –</w:t>
      </w:r>
      <w:r w:rsidR="007108BD">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من المحض- فيها لا العبارة ولا الإشارة، وإنما خطاب يمزج بينهما مزجاً</w:t>
      </w:r>
      <w:r w:rsidR="00A73078" w:rsidRPr="00402C99">
        <w:rPr>
          <w:rFonts w:ascii="Simplified Arabic" w:hAnsi="Simplified Arabic" w:cs="Simplified Arabic"/>
          <w:sz w:val="28"/>
          <w:szCs w:val="28"/>
          <w:vertAlign w:val="superscript"/>
          <w:rtl/>
        </w:rPr>
        <w:footnoteReference w:id="123"/>
      </w:r>
      <w:r w:rsidR="007108BD">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إلا أنّ هذا المزج لا يكون بالضرورة بالتساوي وإنما يكون على درجات متفاوتة بحيث تختلف اللغة الفلسفية باختلاف هذه الدرجات، ذلك لأنّ العبارة مراتب مختلفة أعلاها، كما رأينا، مرتبة المنطق، وأنّ الإشارة هي كذلك مراتب مختلفة أعلاها مرتبة التصوف، فاللغة الفلسفية التي تمتزج فيها العبارية المنطقية والإشارية الصوفية تنـزل منـزلة مختلفة عن المنـزلة التي تنـزلها اللغة الفلسفية التي تمتزج فيها اللغة الأدبية واللغة العلمية أو اللغة المنطقية واللغة العلمية، أو يتفرّد فيها القول المنطقي أو اللغة الأدبية لحالها.</w:t>
      </w:r>
    </w:p>
    <w:p w:rsidR="00A73078" w:rsidRPr="00402C99" w:rsidRDefault="007108BD"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وإذا قمنا بعملية نقارن فيها بين اللغة الفلسفية وبين اللغة العل</w:t>
      </w:r>
      <w:r w:rsidR="00C959BD">
        <w:rPr>
          <w:rFonts w:ascii="Simplified Arabic" w:hAnsi="Simplified Arabic" w:cs="Simplified Arabic"/>
          <w:sz w:val="28"/>
          <w:szCs w:val="28"/>
          <w:rtl/>
        </w:rPr>
        <w:t>مية وبين اللغة الأدبية فيكون ا</w:t>
      </w:r>
      <w:r w:rsidR="00C959BD">
        <w:rPr>
          <w:rFonts w:ascii="Simplified Arabic" w:hAnsi="Simplified Arabic" w:cs="Simplified Arabic" w:hint="cs"/>
          <w:sz w:val="28"/>
          <w:szCs w:val="28"/>
          <w:rtl/>
        </w:rPr>
        <w:t>لأ</w:t>
      </w:r>
      <w:r w:rsidR="00A73078" w:rsidRPr="00402C99">
        <w:rPr>
          <w:rFonts w:ascii="Simplified Arabic" w:hAnsi="Simplified Arabic" w:cs="Simplified Arabic"/>
          <w:sz w:val="28"/>
          <w:szCs w:val="28"/>
          <w:rtl/>
        </w:rPr>
        <w:t>صل في اللغة العلمية هو سيطرة العبارة ذلك لأنّ العالم يحتاج إلى أن يستعمل أق</w:t>
      </w:r>
      <w:r w:rsidR="004F75E3">
        <w:rPr>
          <w:rFonts w:ascii="Simplified Arabic" w:hAnsi="Simplified Arabic" w:cs="Simplified Arabic"/>
          <w:sz w:val="28"/>
          <w:szCs w:val="28"/>
          <w:rtl/>
        </w:rPr>
        <w:t xml:space="preserve">واله في معانيها الحقيقية ويضبط </w:t>
      </w:r>
      <w:r w:rsidR="004F75E3">
        <w:rPr>
          <w:rFonts w:ascii="Simplified Arabic" w:hAnsi="Simplified Arabic" w:cs="Simplified Arabic" w:hint="cs"/>
          <w:sz w:val="28"/>
          <w:szCs w:val="28"/>
          <w:rtl/>
        </w:rPr>
        <w:t>أ</w:t>
      </w:r>
      <w:r w:rsidR="00A73078" w:rsidRPr="00402C99">
        <w:rPr>
          <w:rFonts w:ascii="Simplified Arabic" w:hAnsi="Simplified Arabic" w:cs="Simplified Arabic"/>
          <w:sz w:val="28"/>
          <w:szCs w:val="28"/>
          <w:rtl/>
        </w:rPr>
        <w:t>حكامها المخلتفة وأن يصرح بتمام مضامين هذه المعاني والأحكام، فتكون لغة العلم هي حفظ العبارة وصرف الإشارة</w:t>
      </w:r>
      <w:r w:rsidR="00A73078" w:rsidRPr="00402C99">
        <w:rPr>
          <w:rFonts w:ascii="Simplified Arabic" w:hAnsi="Simplified Arabic" w:cs="Simplified Arabic"/>
          <w:sz w:val="28"/>
          <w:szCs w:val="28"/>
          <w:vertAlign w:val="superscript"/>
          <w:rtl/>
        </w:rPr>
        <w:footnoteReference w:id="124"/>
      </w:r>
      <w:r>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أما اللغة الأدبية فالأصل فيها السيطرة والغلبة للإشارة على العبارة، فالأديب أو الشاعر يحتاج إلى أن يستعمل أقواله في معانيها المجازية وبصرف حدودها الفاصلة وأن يضمر قدراً من هذه المعاني والحدود، فتراه يعمل بغير انقطاع على محو آثار العبارة من أقواله معززاً موقع الإشارة فيها فتكون اللغة الأدبية هي حفظ الإشارة وصرف العبارة</w:t>
      </w:r>
      <w:r w:rsidR="00A73078" w:rsidRPr="00402C99">
        <w:rPr>
          <w:rFonts w:ascii="Simplified Arabic" w:hAnsi="Simplified Arabic" w:cs="Simplified Arabic"/>
          <w:sz w:val="28"/>
          <w:szCs w:val="28"/>
          <w:vertAlign w:val="superscript"/>
          <w:rtl/>
        </w:rPr>
        <w:footnoteReference w:id="125"/>
      </w:r>
      <w:r w:rsidR="00C959BD">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أما اللغة الفلسفية فإنها بخلاف اللغتين العلمية والأدبية، فهي لا تريد أن تصرف الإشارة كما هو الشأن في اللغة العلمية ولا تصرف العبارة كما هو في اللغة الأدبية وإنما تحفظ الإشارة كما تحفظ العبارة وعليه تكون العلاقة البيانية التي تختص بها اللغة الفلسفية هي الجمع بين العبارة والإشارة</w:t>
      </w:r>
      <w:r w:rsidR="00A73078" w:rsidRPr="00402C99">
        <w:rPr>
          <w:rFonts w:ascii="Simplified Arabic" w:hAnsi="Simplified Arabic" w:cs="Simplified Arabic"/>
          <w:sz w:val="28"/>
          <w:szCs w:val="28"/>
          <w:vertAlign w:val="superscript"/>
          <w:rtl/>
        </w:rPr>
        <w:footnoteReference w:id="126"/>
      </w:r>
      <w:r w:rsidR="00C959BD">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sz w:val="28"/>
          <w:szCs w:val="28"/>
          <w:rtl/>
        </w:rPr>
        <w:t>وإذا ما أريد للفلسفة أن تكون معرفة صناعية صرفة تقوم على قوانين الآلة المنطقية وحدها كما أراد لها فلاسفة المنطق الرياضي والفلسفة الوضعية، فلا يمكن لهذه الفلسفة أن تنـزل بمنـزلة المعرفة الأوسع، لأنّ هذه المنـزلة تعود إلى المعرفة غير الصناعية أي المعرفة التي تتوسل اللغة الطبيعية.</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إنّ هذه المعرفة الطبيعية يشترك العامة والخاصة في تناقلها والاستفادة منها في التعبير عن مقاصدهم، كما يتفرع عليها ما عداها من المعارف العلمية بتوسط تقريرات وإجراءات وتحويلات يزيد أو ينقص عمقها وتعقيداتها، وعلى هذا فإنّ الفلسفة وإن كانت اقرب المعارف إلى المعرفة التي تتوسل اللغة الطبيعية بمقتضى دخول أقل القيود والضوابط عليها بالمقارنة إلى سواها من المعارف المتخصصة كالعلوم التجريبية أو الرياضية، تبقى الفلسفة على اتساع مداها، أخص من المعرفة التي تتوسل اللغة الطبيعية الملازمة للغة التداولية</w:t>
      </w:r>
      <w:r w:rsidR="00A73078" w:rsidRPr="00402C99">
        <w:rPr>
          <w:rFonts w:ascii="Simplified Arabic" w:hAnsi="Simplified Arabic" w:cs="Simplified Arabic"/>
          <w:sz w:val="28"/>
          <w:szCs w:val="28"/>
          <w:vertAlign w:val="superscript"/>
          <w:rtl/>
        </w:rPr>
        <w:footnoteReference w:id="127"/>
      </w:r>
      <w:r w:rsidR="00C959BD">
        <w:rPr>
          <w:rFonts w:ascii="Simplified Arabic" w:hAnsi="Simplified Arabic" w:cs="Simplified Arabic" w:hint="cs"/>
          <w:sz w:val="28"/>
          <w:szCs w:val="28"/>
          <w:rtl/>
        </w:rPr>
        <w:t>.</w:t>
      </w:r>
    </w:p>
    <w:p w:rsidR="00C959BD"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وإذا كانت اللغة الفلسفية ليست لغة عبارية خالصة ولا هي لغة إشارية محضة وإنما هي لغة تجمع بين العبارة والإشارة على وجوه مختلفة أو قل على مستويات متفاوتة فإن الجانب العباري فيها يستر الجانب الإشاري منه فتكون الإشارة بمثابة السند للعبارة، وكل ما يُستند إليه يُستمد منه، كما أنّه لا بد أن تكون العناصر الإشارية المستمدة منها عبارة عن دلالات، أي مضامين ومعاني، وعبارة عن علاقات أي استدلالات وأحكام</w:t>
      </w:r>
      <w:r w:rsidR="00A73078" w:rsidRPr="00402C99">
        <w:rPr>
          <w:rFonts w:ascii="Simplified Arabic" w:hAnsi="Simplified Arabic" w:cs="Simplified Arabic"/>
          <w:sz w:val="28"/>
          <w:szCs w:val="28"/>
          <w:vertAlign w:val="superscript"/>
          <w:rtl/>
        </w:rPr>
        <w:footnoteReference w:id="128"/>
      </w:r>
      <w:r w:rsidR="00C959BD">
        <w:rPr>
          <w:rFonts w:ascii="Simplified Arabic" w:hAnsi="Simplified Arabic" w:cs="Simplified Arabic" w:hint="cs"/>
          <w:sz w:val="28"/>
          <w:szCs w:val="28"/>
          <w:rtl/>
        </w:rPr>
        <w:t>.</w:t>
      </w:r>
    </w:p>
    <w:p w:rsidR="00A73078" w:rsidRPr="00402C99" w:rsidRDefault="00C959BD" w:rsidP="00C959BD">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 ولا حياة للفلسفة ما لم يقع وصلها بالأدب الذي هو مجالها التداولي، ذلك لأن الخطاب الفلسفي كتابة مخصوصة، فإنه يشتمل على ما تشتمل عليه الكتابة بالمعنى الأدبي من آليات الإنشاء وأساليب البيان، ومن الآليات الإنشائية للنص الفلسفي طرقه في التركيب وأنماطه في العرض وأشكاله في التوليد، ومن أساليبه البيانية طرقه في التمثيل والاستعارة والتخييل</w:t>
      </w:r>
      <w:r w:rsidR="00A73078" w:rsidRPr="00402C99">
        <w:rPr>
          <w:rFonts w:ascii="Simplified Arabic" w:hAnsi="Simplified Arabic" w:cs="Simplified Arabic"/>
          <w:sz w:val="28"/>
          <w:szCs w:val="28"/>
          <w:vertAlign w:val="superscript"/>
          <w:rtl/>
        </w:rPr>
        <w:footnoteReference w:id="129"/>
      </w:r>
      <w:r w:rsidR="00715CDD">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 xml:space="preserve">وإذا كان الأمر كذلك، فكان لا بد لها من المرور من الطور الإشاري حتى تستمد منه كيفيات الخروج إلى الطور العباري، فالأدب هو مستودع الإشارة الذي لا ينفذ، فينبغي </w:t>
      </w:r>
      <w:r w:rsidR="00A73078" w:rsidRPr="00402C99">
        <w:rPr>
          <w:rFonts w:ascii="Simplified Arabic" w:hAnsi="Simplified Arabic" w:cs="Simplified Arabic"/>
          <w:b/>
          <w:bCs/>
          <w:sz w:val="28"/>
          <w:szCs w:val="28"/>
          <w:rtl/>
        </w:rPr>
        <w:t>لكل فلسفة متى أرادت أن تحيا ولا تموت</w:t>
      </w:r>
      <w:r w:rsidR="00A73078" w:rsidRPr="00402C99">
        <w:rPr>
          <w:rFonts w:ascii="Simplified Arabic" w:hAnsi="Simplified Arabic" w:cs="Simplified Arabic"/>
          <w:sz w:val="28"/>
          <w:szCs w:val="28"/>
          <w:rtl/>
        </w:rPr>
        <w:t xml:space="preserve"> أن تستأنس بأجمل وأجلّ أساليب الأدب في الإشارة، حتى إذا قام بذلك الفيلسوف أمكنه أن يبني عبارته على مقتضيات الإشارة، فتأتي هذه العبارة موصولة بالمجال التداولي لهذا الفيلسوف ويكون مضمونها أغنى وتأثيرها أنفذ</w:t>
      </w:r>
      <w:r w:rsidR="00A73078" w:rsidRPr="00402C99">
        <w:rPr>
          <w:rFonts w:ascii="Simplified Arabic" w:hAnsi="Simplified Arabic" w:cs="Simplified Arabic"/>
          <w:sz w:val="28"/>
          <w:szCs w:val="28"/>
          <w:vertAlign w:val="superscript"/>
          <w:rtl/>
        </w:rPr>
        <w:footnoteReference w:id="130"/>
      </w:r>
      <w:r w:rsidR="00715CDD">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فاللغة الفلسفية هي خطاب موصول أي دائم الارتباط بالخطاب التداولي ناهيك عن دوام ارتباطه باللغة الطبيعية، فمهما حاول المتفلسف أن ينجز خطابه على أسس المنطق وآلياته الصورية، فلا تبلغ ثمرة هذه المحاولة حد الانفصال عن الآثار الحجاجية الجدلية للخطاب التداولي فضلاً عن الآثار التواصلية للغة الطبيعية، لأن اللغة التداولية واللغة الطبيعية يحيطان بكل خطاب، ولا يحيط بهما أي خطاب، وإنما يتفاوتان فيما بينهما في هذه الإحاطة، حيث يحيط الخطاب التداولي إحاطة المجتمع المخصوص بأفراده المعدودين، بينما تحيط اللغة الطبيعية باللغة الفلسفية كإحاطة المجتمع الإنساني بأفراده غير المعدودين</w:t>
      </w:r>
      <w:r w:rsidR="00A73078" w:rsidRPr="00402C99">
        <w:rPr>
          <w:rFonts w:ascii="Simplified Arabic" w:hAnsi="Simplified Arabic" w:cs="Simplified Arabic"/>
          <w:sz w:val="28"/>
          <w:szCs w:val="28"/>
          <w:vertAlign w:val="superscript"/>
          <w:rtl/>
        </w:rPr>
        <w:footnoteReference w:id="131"/>
      </w:r>
      <w:r w:rsidR="00715CDD">
        <w:rPr>
          <w:rFonts w:ascii="Simplified Arabic" w:hAnsi="Simplified Arabic" w:cs="Simplified Arabic" w:hint="cs"/>
          <w:sz w:val="28"/>
          <w:szCs w:val="28"/>
          <w:rtl/>
        </w:rPr>
        <w:t>.</w:t>
      </w:r>
    </w:p>
    <w:p w:rsidR="00A73078" w:rsidRPr="00402C99" w:rsidRDefault="00715CDD" w:rsidP="00333242">
      <w:pPr>
        <w:tabs>
          <w:tab w:val="left" w:pos="9638"/>
        </w:tabs>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وإذا كانت اللغة الطبيعية تتصف بالالتباس، فإن اللغة الفلسفية التي تأخذ بهذه اللغة لا تضرها في شيء هذه الصفة –</w:t>
      </w: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أي الالتباس- بل على العكس من ذلك تنفعها نفعاً كبيراً ذلك لأنها تمد الخطاب الفلسفي بإمكانات دلالية هائلة لا تتوفر لخطاب غيره كما تفتح فيه آفاقاً استدلالية واسعة لا نجدها في غيره من الخطابات، ولما كانت اللغة الفلسفية موصولة وصلاً باللغة الطبيعية، فلا مناص لها أن تستمد منها هذه الصفة الالتباسية، حيث تنطبع بها مصطلحاتها كما تنطبع بها تراكيبها</w:t>
      </w:r>
      <w:r w:rsidR="00A73078" w:rsidRPr="00402C99">
        <w:rPr>
          <w:rFonts w:ascii="Simplified Arabic" w:hAnsi="Simplified Arabic" w:cs="Simplified Arabic"/>
          <w:sz w:val="28"/>
          <w:szCs w:val="28"/>
          <w:vertAlign w:val="superscript"/>
          <w:rtl/>
        </w:rPr>
        <w:footnoteReference w:id="132"/>
      </w:r>
      <w:r>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rPr>
      </w:pPr>
      <w:r w:rsidRPr="00402C99">
        <w:rPr>
          <w:rFonts w:ascii="Simplified Arabic" w:hAnsi="Simplified Arabic" w:cs="Simplified Arabic"/>
          <w:sz w:val="28"/>
          <w:szCs w:val="28"/>
          <w:rtl/>
        </w:rPr>
        <w:t xml:space="preserve">2.4 </w:t>
      </w:r>
      <w:r w:rsidRPr="00402C99">
        <w:rPr>
          <w:rFonts w:ascii="Simplified Arabic" w:hAnsi="Simplified Arabic" w:cs="Simplified Arabic"/>
          <w:b/>
          <w:bCs/>
          <w:sz w:val="28"/>
          <w:szCs w:val="28"/>
          <w:rtl/>
        </w:rPr>
        <w:t>مكونات اللغة الفلسفية:</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وإذا كانت اللغة الطبيعية لغة اتساعية والتباسية، فإنها من حيث التركيب تنقسم كما هو معلوم إلى اللغظ والجملة والنص، إلا أنّ هذا التقسيم الثلاثي قد يزدوج بأقسام تركيبية خاصة بحسب مقتضيات الممارسة المعرفية في مجال الخطاب الإنساني، فاللغة العلمية لها أقسام خاصة مشابهة للأقسام العامة للغة الطبيعية وهي ثلاثة أقسام أيضاً وهي: التصور، والقانون، والنظرية، فالتصور هو لفظ العلم الحقيقي والقانون هو جملته الحقيقية، وتكون النظرية نصه الحقيقي. أما اللغة الفلسفية فلها أيضاً أقسامها الخاصة التي تشبه أقسام الكلام العامة وهي: المفهوم والتعريف والدليل، فيكون المفهوم هو بمنـزلة اللفظ الفلسفي، والتعريف هو بمنـزلة الجملة الفلسفية والدليل هو بمنـزلة النص الفلسفي</w:t>
      </w:r>
      <w:r w:rsidR="00A73078" w:rsidRPr="00402C99">
        <w:rPr>
          <w:rFonts w:ascii="Simplified Arabic" w:hAnsi="Simplified Arabic" w:cs="Simplified Arabic"/>
          <w:sz w:val="28"/>
          <w:szCs w:val="28"/>
          <w:vertAlign w:val="superscript"/>
          <w:rtl/>
        </w:rPr>
        <w:footnoteReference w:id="133"/>
      </w:r>
      <w:r w:rsidR="00331A03">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ثم إذا كانت للغة الطبيعية تراكيب خاصة بها فإنها لا مجال تخضع إلى مجال تداولي خاص بها،</w:t>
      </w:r>
      <w:r w:rsidR="00A73078" w:rsidRPr="00402C99">
        <w:rPr>
          <w:rFonts w:ascii="Simplified Arabic" w:hAnsi="Simplified Arabic" w:cs="Simplified Arabic"/>
          <w:sz w:val="28"/>
          <w:szCs w:val="28"/>
          <w:vertAlign w:val="superscript"/>
          <w:rtl/>
        </w:rPr>
        <w:footnoteReference w:id="134"/>
      </w:r>
      <w:r w:rsidR="00A73078" w:rsidRPr="00402C99">
        <w:rPr>
          <w:rFonts w:ascii="Simplified Arabic" w:hAnsi="Simplified Arabic" w:cs="Simplified Arabic"/>
          <w:sz w:val="28"/>
          <w:szCs w:val="28"/>
          <w:rtl/>
        </w:rPr>
        <w:t>والمقصود بالمجال التداولي هو وصف لكل ما كان مظهر من مظاهر التواصل والتفاعل بين صانعي التراث الخاص بأمة من الأمم من عامة الناس وخاصتهم. ويقوم كل من التواصل والتفاعل على ثلاثة مبادئ أو أسس: الأساس اللغوي، والأساس العقدي، والأساس المعرفي</w:t>
      </w:r>
      <w:r w:rsidR="00A73078" w:rsidRPr="00402C99">
        <w:rPr>
          <w:rFonts w:ascii="Simplified Arabic" w:hAnsi="Simplified Arabic" w:cs="Simplified Arabic"/>
          <w:sz w:val="28"/>
          <w:szCs w:val="28"/>
          <w:vertAlign w:val="superscript"/>
          <w:rtl/>
        </w:rPr>
        <w:footnoteReference w:id="135"/>
      </w:r>
      <w:r w:rsidR="00331A03">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u w:val="single"/>
          <w:rtl/>
        </w:rPr>
      </w:pPr>
      <w:r w:rsidRPr="00402C99">
        <w:rPr>
          <w:rFonts w:ascii="Simplified Arabic" w:hAnsi="Simplified Arabic" w:cs="Simplified Arabic"/>
          <w:b/>
          <w:bCs/>
          <w:sz w:val="28"/>
          <w:szCs w:val="28"/>
          <w:u w:val="single"/>
          <w:rtl/>
        </w:rPr>
        <w:t>1- الأساس اللغوي</w:t>
      </w:r>
      <w:r w:rsidRPr="00402C99">
        <w:rPr>
          <w:rFonts w:ascii="Simplified Arabic" w:hAnsi="Simplified Arabic" w:cs="Simplified Arabic"/>
          <w:b/>
          <w:bCs/>
          <w:sz w:val="28"/>
          <w:szCs w:val="28"/>
          <w:rtl/>
        </w:rPr>
        <w:t>:</w:t>
      </w:r>
      <w:r w:rsidRPr="00402C99">
        <w:rPr>
          <w:rFonts w:ascii="Simplified Arabic" w:hAnsi="Simplified Arabic" w:cs="Simplified Arabic"/>
          <w:sz w:val="28"/>
          <w:szCs w:val="28"/>
          <w:rtl/>
        </w:rPr>
        <w:t>من المعلوم أنّ اللغة من أقوى الوسائل التي يستخدمها المتكلم لتبليغ مقاصده إلى غيره وللتأثير فيه بحسب هذه المقاصد</w:t>
      </w:r>
      <w:r w:rsidRPr="00402C99">
        <w:rPr>
          <w:rFonts w:ascii="Simplified Arabic" w:hAnsi="Simplified Arabic" w:cs="Simplified Arabic"/>
          <w:sz w:val="28"/>
          <w:szCs w:val="28"/>
          <w:vertAlign w:val="superscript"/>
          <w:rtl/>
        </w:rPr>
        <w:footnoteReference w:id="136"/>
      </w:r>
      <w:r w:rsidR="00331A03">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b/>
          <w:bCs/>
          <w:sz w:val="28"/>
          <w:szCs w:val="28"/>
          <w:u w:val="single"/>
          <w:rtl/>
        </w:rPr>
        <w:t>2- الأساس العقدي</w:t>
      </w:r>
      <w:r w:rsidRPr="00402C99">
        <w:rPr>
          <w:rFonts w:ascii="Simplified Arabic" w:hAnsi="Simplified Arabic" w:cs="Simplified Arabic"/>
          <w:b/>
          <w:bCs/>
          <w:sz w:val="28"/>
          <w:szCs w:val="28"/>
          <w:rtl/>
        </w:rPr>
        <w:t>:</w:t>
      </w:r>
      <w:r w:rsidRPr="00402C99">
        <w:rPr>
          <w:rFonts w:ascii="Simplified Arabic" w:hAnsi="Simplified Arabic" w:cs="Simplified Arabic"/>
          <w:sz w:val="28"/>
          <w:szCs w:val="28"/>
          <w:rtl/>
        </w:rPr>
        <w:t xml:space="preserve"> ومن المعروف كذلك أن العقيدة –المعتقدات- لا تقل أهمية في القيام بمقتضيات التواصل والتفاعل بين أصحابها ومعتنقيها، عن الأساس اللغوي</w:t>
      </w:r>
      <w:r w:rsidRPr="00402C99">
        <w:rPr>
          <w:rFonts w:ascii="Simplified Arabic" w:hAnsi="Simplified Arabic" w:cs="Simplified Arabic"/>
          <w:sz w:val="28"/>
          <w:szCs w:val="28"/>
          <w:vertAlign w:val="superscript"/>
          <w:rtl/>
        </w:rPr>
        <w:footnoteReference w:id="137"/>
      </w:r>
      <w:r w:rsidRPr="00402C99">
        <w:rPr>
          <w:rFonts w:ascii="Simplified Arabic" w:hAnsi="Simplified Arabic" w:cs="Simplified Arabic"/>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sz w:val="28"/>
          <w:szCs w:val="28"/>
          <w:rtl/>
        </w:rPr>
      </w:pPr>
      <w:r w:rsidRPr="00402C99">
        <w:rPr>
          <w:rFonts w:ascii="Simplified Arabic" w:hAnsi="Simplified Arabic" w:cs="Simplified Arabic"/>
          <w:b/>
          <w:bCs/>
          <w:sz w:val="28"/>
          <w:szCs w:val="28"/>
          <w:u w:val="single"/>
          <w:rtl/>
        </w:rPr>
        <w:t>3- الأساس المعرفي-العقلي</w:t>
      </w:r>
      <w:r w:rsidRPr="00402C99">
        <w:rPr>
          <w:rFonts w:ascii="Simplified Arabic" w:hAnsi="Simplified Arabic" w:cs="Simplified Arabic"/>
          <w:b/>
          <w:bCs/>
          <w:sz w:val="28"/>
          <w:szCs w:val="28"/>
          <w:rtl/>
        </w:rPr>
        <w:t>:</w:t>
      </w:r>
      <w:r w:rsidRPr="00402C99">
        <w:rPr>
          <w:rFonts w:ascii="Simplified Arabic" w:hAnsi="Simplified Arabic" w:cs="Simplified Arabic"/>
          <w:sz w:val="28"/>
          <w:szCs w:val="28"/>
          <w:rtl/>
        </w:rPr>
        <w:t xml:space="preserve"> لا تواصل ولا تفاعل في التراث المشترك إلا بمعرفة متوسلة باللغة ومتقومة بالعقيدة، فما يتناقله المتخاطبون بواسطة لغتهم الطبيعية وما يتعاملون به بموجب معتقداتهم هو جملة مضامين دلالية وطرق استدلالية تتوسع بها المدارك العقلية في الأنفس وتنفتح بها آفاق المعرفة من حول أصحابها</w:t>
      </w:r>
      <w:r w:rsidRPr="00402C99">
        <w:rPr>
          <w:rFonts w:ascii="Simplified Arabic" w:hAnsi="Simplified Arabic" w:cs="Simplified Arabic"/>
          <w:sz w:val="28"/>
          <w:szCs w:val="28"/>
          <w:vertAlign w:val="superscript"/>
          <w:rtl/>
        </w:rPr>
        <w:footnoteReference w:id="138"/>
      </w:r>
      <w:r w:rsidR="00331A03">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وتتصف هذه المبادئ الثلاثة بصفتين هما صفة الاستعمال أو قل التداول، وصفة الاستكمال: فلا استعمال بغير تحقيق التواصل والتفاعل بين أفراد هذا المجال التداولي، فيشترط في استعمال اللغة أن تكون مبيَّنة ويشترط في استعمال العقيدة أن تكون راسخة وثابتة، ويشترط في استعمال المعرفة أن تكون نافعة.</w:t>
      </w:r>
      <w:r w:rsidR="00A73078" w:rsidRPr="00402C99">
        <w:rPr>
          <w:rFonts w:ascii="Simplified Arabic" w:hAnsi="Simplified Arabic" w:cs="Simplified Arabic"/>
          <w:sz w:val="28"/>
          <w:szCs w:val="28"/>
          <w:vertAlign w:val="superscript"/>
          <w:rtl/>
        </w:rPr>
        <w:footnoteReference w:id="139"/>
      </w:r>
    </w:p>
    <w:p w:rsidR="00A73078" w:rsidRPr="00402C99" w:rsidRDefault="004F75E3" w:rsidP="004F75E3">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أما صفة الاستكمال هو أن يُكمل كل أساس الأسس الأخرى حتى يتحقق الجانب التداولي للغة، فلا استكمال بغير اجتماع اللغوي والتحقيق المعرفي والتقويم العقدي؛ فاللغة ما لم تبلغ معرفة نافعة مستندة إلى عقيدة راسخة فلا كمال فيها، والعقيدة ما لم تقوِّم حقائق مستمدة من معرفة نافعة تتوسل بلغة مبينة، فلا كمال فيها هي أيضاً، وكذلك المعرفة ما لم تحقق قيمته مستمدة من عقيدة راسخة تتوسل لغة</w:t>
      </w:r>
      <w:r>
        <w:rPr>
          <w:rFonts w:ascii="Simplified Arabic" w:hAnsi="Simplified Arabic" w:cs="Simplified Arabic"/>
          <w:sz w:val="28"/>
          <w:szCs w:val="28"/>
          <w:rtl/>
        </w:rPr>
        <w:t xml:space="preserve"> مبينة، فلا كمال فيها هي الأخرى</w:t>
      </w:r>
      <w:r>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فصفة الاستكمال في اللغة هو أن تكون مبلغة وفي العقيدة أن تكون مقوِّمة وفي المعرفة أن تكون محققة</w:t>
      </w:r>
      <w:r w:rsidR="00A73078" w:rsidRPr="00402C99">
        <w:rPr>
          <w:rFonts w:ascii="Simplified Arabic" w:hAnsi="Simplified Arabic" w:cs="Simplified Arabic"/>
          <w:sz w:val="28"/>
          <w:szCs w:val="28"/>
          <w:vertAlign w:val="superscript"/>
          <w:rtl/>
        </w:rPr>
        <w:footnoteReference w:id="140"/>
      </w:r>
      <w:r w:rsidR="0007145A">
        <w:rPr>
          <w:rFonts w:ascii="Simplified Arabic" w:hAnsi="Simplified Arabic" w:cs="Simplified Arabic" w:hint="cs"/>
          <w:sz w:val="28"/>
          <w:szCs w:val="28"/>
          <w:rtl/>
        </w:rPr>
        <w:t>.</w:t>
      </w:r>
    </w:p>
    <w:p w:rsidR="00A73078" w:rsidRPr="00402C99" w:rsidRDefault="004F75E3" w:rsidP="00333242">
      <w:pPr>
        <w:autoSpaceDE w:val="0"/>
        <w:autoSpaceDN w:val="0"/>
        <w:bidi/>
        <w:adjustRightInd w:val="0"/>
        <w:spacing w:after="0" w:line="240" w:lineRule="auto"/>
        <w:ind w:left="-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وعليه فكل ما ينسب إلى مجال التداول لا بد وأن يتصف بالاستعمال والاستكمال: فاللغة تجمع بين البيان والتبليغ، والعقيدة تجمع بين الرسوخ والتقويم، والمعرفة تجمع بين النفع والتحقيق</w:t>
      </w:r>
      <w:r w:rsidR="00A73078" w:rsidRPr="00402C99">
        <w:rPr>
          <w:rFonts w:ascii="Simplified Arabic" w:hAnsi="Simplified Arabic" w:cs="Simplified Arabic"/>
          <w:sz w:val="28"/>
          <w:szCs w:val="28"/>
          <w:vertAlign w:val="superscript"/>
          <w:rtl/>
        </w:rPr>
        <w:footnoteReference w:id="141"/>
      </w:r>
      <w:r w:rsidR="0007145A">
        <w:rPr>
          <w:rFonts w:ascii="Simplified Arabic" w:hAnsi="Simplified Arabic" w:cs="Simplified Arabic" w:hint="cs"/>
          <w:sz w:val="28"/>
          <w:szCs w:val="28"/>
          <w:rtl/>
        </w:rPr>
        <w:t>.</w:t>
      </w:r>
      <w:r w:rsidR="00A73078" w:rsidRPr="00402C99">
        <w:rPr>
          <w:rFonts w:ascii="Simplified Arabic" w:hAnsi="Simplified Arabic" w:cs="Simplified Arabic"/>
          <w:sz w:val="28"/>
          <w:szCs w:val="28"/>
          <w:rtl/>
        </w:rPr>
        <w:t xml:space="preserve"> ولما كان اللغة الفلسفية تنقسم إلى ثلاثة أقسام: المفهوم والتعريف والدليل، فإن لكل واحد من هذه الأقسام الثلاثة عبارته وإشارته الخاصة به، فتكون العناصر من الدلالات والعلاقات التي تستمدها عبارة المفهوم من إشارته غير العناصر التي تستمدها عبارة التعريف من إشارته، وغير العناصر التي تستمدها عبرة الدليل من إشارته</w:t>
      </w:r>
      <w:r w:rsidR="00A73078" w:rsidRPr="00402C99">
        <w:rPr>
          <w:rFonts w:ascii="Simplified Arabic" w:hAnsi="Simplified Arabic" w:cs="Simplified Arabic"/>
          <w:sz w:val="28"/>
          <w:szCs w:val="28"/>
          <w:vertAlign w:val="superscript"/>
          <w:rtl/>
        </w:rPr>
        <w:footnoteReference w:id="142"/>
      </w:r>
      <w:r w:rsidR="0007145A">
        <w:rPr>
          <w:rFonts w:ascii="Simplified Arabic" w:hAnsi="Simplified Arabic" w:cs="Simplified Arabic" w:hint="cs"/>
          <w:sz w:val="28"/>
          <w:szCs w:val="28"/>
          <w:rtl/>
        </w:rPr>
        <w:t>.</w:t>
      </w:r>
    </w:p>
    <w:p w:rsidR="00A73078" w:rsidRPr="00402C99" w:rsidRDefault="00A73078" w:rsidP="00333242">
      <w:pPr>
        <w:autoSpaceDE w:val="0"/>
        <w:autoSpaceDN w:val="0"/>
        <w:bidi/>
        <w:adjustRightInd w:val="0"/>
        <w:spacing w:after="0" w:line="240" w:lineRule="auto"/>
        <w:ind w:left="-1"/>
        <w:jc w:val="both"/>
        <w:rPr>
          <w:rFonts w:ascii="Simplified Arabic" w:hAnsi="Simplified Arabic" w:cs="Simplified Arabic"/>
          <w:b/>
          <w:bCs/>
          <w:sz w:val="28"/>
          <w:szCs w:val="28"/>
          <w:rtl/>
        </w:rPr>
      </w:pPr>
      <w:r w:rsidRPr="00402C99">
        <w:rPr>
          <w:rFonts w:ascii="Simplified Arabic" w:hAnsi="Simplified Arabic" w:cs="Simplified Arabic"/>
          <w:b/>
          <w:bCs/>
          <w:sz w:val="28"/>
          <w:szCs w:val="28"/>
          <w:rtl/>
        </w:rPr>
        <w:t>خاتمة</w:t>
      </w:r>
      <w:r w:rsidRPr="00402C99">
        <w:rPr>
          <w:rFonts w:ascii="Simplified Arabic" w:hAnsi="Simplified Arabic" w:cs="Simplified Arabic"/>
          <w:sz w:val="28"/>
          <w:szCs w:val="28"/>
          <w:rtl/>
        </w:rPr>
        <w:t>:</w:t>
      </w:r>
    </w:p>
    <w:p w:rsidR="00A73078" w:rsidRPr="00402C99" w:rsidRDefault="008E21EC" w:rsidP="00333242">
      <w:pPr>
        <w:autoSpaceDE w:val="0"/>
        <w:autoSpaceDN w:val="0"/>
        <w:bidi/>
        <w:adjustRightInd w:val="0"/>
        <w:spacing w:after="0" w:line="240" w:lineRule="auto"/>
        <w:ind w:left="-1"/>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  </w:t>
      </w:r>
      <w:r w:rsidR="00A73078" w:rsidRPr="00402C99">
        <w:rPr>
          <w:rFonts w:ascii="Simplified Arabic" w:hAnsi="Simplified Arabic" w:cs="Simplified Arabic"/>
          <w:sz w:val="28"/>
          <w:szCs w:val="28"/>
          <w:rtl/>
        </w:rPr>
        <w:t>بعد أن فرغنا من تبيين العلاقة الوثيقة بين اللغة الطبيعية واللغة الفلسفية، واستنتجنا أنّ الخطاب الفلسفي المبدع لا يمكنه أن يكون عبارياً محضاً ولا إشارياً صرفاً، فإنّه يتعين علينا أن نبحث مستقبلا، في بحوث أو مقالات، أقسام الخطاب الفلسفي الثلاثة: المفهوم والتعريف والدليل، لتبيان كيفية إنشاء الفيلسوف مفهومه وتقرير تعريفه وبناء دليله على أساس الجمع بين الجانب العباري والجانب الإشاري</w:t>
      </w:r>
      <w:r w:rsidR="00A73078" w:rsidRPr="00402C99">
        <w:rPr>
          <w:rFonts w:ascii="Simplified Arabic" w:hAnsi="Simplified Arabic" w:cs="Simplified Arabic"/>
          <w:b/>
          <w:bCs/>
          <w:sz w:val="28"/>
          <w:szCs w:val="28"/>
          <w:rtl/>
        </w:rPr>
        <w:t>.</w:t>
      </w:r>
    </w:p>
    <w:p w:rsidR="00A73078" w:rsidRPr="00402C99" w:rsidRDefault="00A73078" w:rsidP="008E21EC">
      <w:pPr>
        <w:bidi/>
        <w:spacing w:after="0" w:line="240" w:lineRule="auto"/>
        <w:jc w:val="both"/>
        <w:rPr>
          <w:rFonts w:ascii="Simplified Arabic" w:hAnsi="Simplified Arabic" w:cs="Simplified Arabic"/>
          <w:sz w:val="28"/>
          <w:szCs w:val="28"/>
        </w:rPr>
      </w:pPr>
    </w:p>
    <w:sectPr w:rsidR="00A73078" w:rsidRPr="00402C99" w:rsidSect="00333242">
      <w:headerReference w:type="even" r:id="rId9"/>
      <w:headerReference w:type="default" r:id="rId10"/>
      <w:footerReference w:type="even" r:id="rId11"/>
      <w:footerReference w:type="default" r:id="rId12"/>
      <w:headerReference w:type="first" r:id="rId13"/>
      <w:footerReference w:type="first" r:id="rId14"/>
      <w:footnotePr>
        <w:numRestart w:val="eachPage"/>
      </w:footnotePr>
      <w:endnotePr>
        <w:numFmt w:val="decimal"/>
        <w:numRestart w:val="eachSect"/>
      </w:endnotePr>
      <w:pgSz w:w="11906" w:h="16838"/>
      <w:pgMar w:top="1418" w:right="1418" w:bottom="1418" w:left="1418" w:header="142" w:footer="96"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765C" w:rsidRDefault="000E765C" w:rsidP="00A27053">
      <w:pPr>
        <w:spacing w:after="0" w:line="240" w:lineRule="auto"/>
      </w:pPr>
      <w:r>
        <w:separator/>
      </w:r>
    </w:p>
  </w:endnote>
  <w:endnote w:type="continuationSeparator" w:id="1">
    <w:p w:rsidR="000E765C" w:rsidRDefault="000E765C" w:rsidP="00A270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Helvetica">
    <w:panose1 w:val="020B0604020202020204"/>
    <w:charset w:val="00"/>
    <w:family w:val="swiss"/>
    <w:notTrueType/>
    <w:pitch w:val="variable"/>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AGA Arabesque">
    <w:altName w:val="Symbol"/>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Fanan">
    <w:altName w:val="Times New Roman"/>
    <w:charset w:val="B2"/>
    <w:family w:val="auto"/>
    <w:pitch w:val="variable"/>
    <w:sig w:usb0="00002000" w:usb1="00000000" w:usb2="00000000" w:usb3="00000000" w:csb0="00000040" w:csb1="00000000"/>
  </w:font>
  <w:font w:name="ae_Ouhod">
    <w:altName w:val="Arial"/>
    <w:charset w:val="00"/>
    <w:family w:val="swiss"/>
    <w:pitch w:val="variable"/>
    <w:sig w:usb0="00000000" w:usb1="C000204A" w:usb2="00000008" w:usb3="00000000" w:csb0="00000041" w:csb1="00000000"/>
  </w:font>
  <w:font w:name="AL-Fares">
    <w:altName w:val="Times New Roman"/>
    <w:charset w:val="B2"/>
    <w:family w:val="auto"/>
    <w:pitch w:val="variable"/>
    <w:sig w:usb0="00002000" w:usb1="00000000" w:usb2="00000000" w:usb3="00000000" w:csb0="00000040" w:csb1="00000000"/>
  </w:font>
  <w:font w:name="Copperplate Gothic Bold">
    <w:panose1 w:val="020E0705020206020404"/>
    <w:charset w:val="00"/>
    <w:family w:val="swiss"/>
    <w:pitch w:val="variable"/>
    <w:sig w:usb0="00000003" w:usb1="00000000" w:usb2="00000000" w:usb3="00000000" w:csb0="00000001" w:csb1="00000000"/>
  </w:font>
  <w:font w:name="AdvertisingExtraBold">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C05" w:rsidRDefault="003D4C0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5E3" w:rsidRDefault="004F75E3" w:rsidP="004F75E3">
    <w:pPr>
      <w:pStyle w:val="Pieddepage"/>
      <w:bidi/>
      <w:ind w:right="-1417" w:hanging="1276"/>
      <w:jc w:val="center"/>
      <w:rPr>
        <w:b/>
        <w:bCs/>
        <w:sz w:val="18"/>
        <w:szCs w:val="18"/>
        <w:rtl/>
        <w:lang w:bidi="ar-DZ"/>
      </w:rPr>
    </w:pPr>
    <w:r>
      <w:rPr>
        <w:b/>
        <w:bCs/>
        <w:sz w:val="18"/>
        <w:szCs w:val="18"/>
        <w:rtl/>
        <w:lang w:bidi="ar-DZ"/>
      </w:rPr>
      <w:tab/>
    </w:r>
    <w:r>
      <w:rPr>
        <w:b/>
        <w:bCs/>
        <w:sz w:val="18"/>
        <w:szCs w:val="18"/>
        <w:rtl/>
        <w:lang w:bidi="ar-DZ"/>
      </w:rPr>
      <w:tab/>
    </w:r>
    <w:r w:rsidR="000156F1" w:rsidRPr="000156F1">
      <w:rPr>
        <w:b/>
        <w:bCs/>
        <w:noProof/>
        <w:sz w:val="18"/>
        <w:szCs w:val="18"/>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4" o:spid="_x0000_s4104" type="#_x0000_t5" style="position:absolute;left:0;text-align:left;margin-left:0;margin-top:0;width:167.4pt;height:161.8pt;flip:x;z-index:-251656192;visibility:visible;mso-position-horizontal:left;mso-position-horizontal-relative:page;mso-position-vertical:botto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" adj="21600" fillcolor="#d2eaf1" stroked="f">
          <v:textbox>
            <w:txbxContent>
              <w:p w:rsidR="004F75E3" w:rsidRDefault="000156F1">
                <w:pPr>
                  <w:jc w:val="center"/>
                  <w:rPr>
                    <w:szCs w:val="72"/>
                  </w:rPr>
                </w:pPr>
                <w:r w:rsidRPr="000156F1">
                  <w:fldChar w:fldCharType="begin"/>
                </w:r>
                <w:r w:rsidR="004F75E3">
                  <w:instrText xml:space="preserve"> PAGE    \* MERGEFORMAT </w:instrText>
                </w:r>
                <w:r w:rsidRPr="000156F1">
                  <w:fldChar w:fldCharType="separate"/>
                </w:r>
                <w:r w:rsidR="002C3E13" w:rsidRPr="002C3E13">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Pr>
        <w:b/>
        <w:bCs/>
        <w:sz w:val="18"/>
        <w:szCs w:val="18"/>
        <w:rtl/>
        <w:lang w:bidi="ar-DZ"/>
      </w:rPr>
      <w:tab/>
    </w:r>
  </w:p>
  <w:p w:rsidR="004F75E3" w:rsidRPr="00D311B5" w:rsidRDefault="000156F1" w:rsidP="004F75E3">
    <w:pPr>
      <w:pStyle w:val="Pieddepage"/>
      <w:ind w:right="-1417" w:hanging="1276"/>
      <w:jc w:val="center"/>
      <w:rPr>
        <w:sz w:val="14"/>
        <w:szCs w:val="14"/>
        <w:rtl/>
        <w:lang w:bidi="ar-DZ"/>
      </w:rPr>
    </w:pPr>
    <w:r w:rsidRPr="000156F1">
      <w:rPr>
        <w:noProof/>
        <w:sz w:val="2"/>
        <w:szCs w:val="2"/>
        <w:rtl/>
        <w:lang w:eastAsia="fr-FR"/>
      </w:rPr>
      <w:pict>
        <v:shape id="AutoShape 23" o:spid="_x0000_s4103" type="#_x0000_t5" style="position:absolute;left:0;text-align:left;margin-left:.6pt;margin-top:685.2pt;width:167.4pt;height:161.8pt;flip:x;z-index:-2516510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" adj="21600" fillcolor="#d2eaf1" stroked="f">
          <v:textbox>
            <w:txbxContent>
              <w:p w:rsidR="004F75E3" w:rsidRDefault="000156F1" w:rsidP="004F75E3">
                <w:pPr>
                  <w:jc w:val="center"/>
                  <w:rPr>
                    <w:szCs w:val="72"/>
                  </w:rPr>
                </w:pPr>
                <w:r w:rsidRPr="000156F1">
                  <w:fldChar w:fldCharType="begin"/>
                </w:r>
                <w:r w:rsidR="004F75E3">
                  <w:instrText xml:space="preserve"> PAGE    \* MERGEFORMAT </w:instrText>
                </w:r>
                <w:r w:rsidRPr="000156F1">
                  <w:fldChar w:fldCharType="separate"/>
                </w:r>
                <w:r w:rsidR="002C3E13" w:rsidRPr="002C3E13">
                  <w:rPr>
                    <w:rFonts w:ascii="Cambria" w:hAnsi="Cambria"/>
                    <w:noProof/>
                    <w:color w:val="FFFFFF"/>
                    <w:sz w:val="72"/>
                    <w:szCs w:val="72"/>
                  </w:rPr>
                  <w:t>10</w:t>
                </w:r>
                <w:r>
                  <w:rPr>
                    <w:rFonts w:ascii="Cambria" w:hAnsi="Cambria"/>
                    <w:noProof/>
                    <w:color w:val="FFFFFF"/>
                    <w:sz w:val="72"/>
                    <w:szCs w:val="72"/>
                  </w:rPr>
                  <w:fldChar w:fldCharType="end"/>
                </w:r>
              </w:p>
            </w:txbxContent>
          </v:textbox>
          <w10:wrap anchorx="page" anchory="page"/>
        </v:shape>
      </w:pict>
    </w:r>
    <w:r w:rsidR="004F75E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4F75E3">
      <w:rPr>
        <w:rFonts w:hint="cs"/>
        <w:sz w:val="10"/>
        <w:szCs w:val="10"/>
        <w:rtl/>
      </w:rPr>
      <w:t>ـــــــــــــــــــ</w:t>
    </w:r>
    <w:r w:rsidR="004F75E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4F75E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4F75E3" w:rsidRPr="003D4C05" w:rsidRDefault="004F75E3" w:rsidP="00DC5074">
    <w:pPr>
      <w:pStyle w:val="Pieddepage"/>
      <w:bidi/>
      <w:ind w:hanging="851"/>
      <w:jc w:val="center"/>
      <w:rPr>
        <w:sz w:val="24"/>
        <w:szCs w:val="24"/>
        <w:lang w:bidi="ar-DZ"/>
      </w:rPr>
    </w:pPr>
    <w:r w:rsidRPr="003D4C05">
      <w:rPr>
        <w:rFonts w:ascii="Times New Roman" w:hAnsi="Times New Roman" w:cs="Times New Roman" w:hint="cs"/>
        <w:b/>
        <w:bCs/>
        <w:sz w:val="24"/>
        <w:szCs w:val="24"/>
        <w:rtl/>
        <w:lang w:bidi="ar-DZ"/>
      </w:rPr>
      <w:t xml:space="preserve">العنوان: </w:t>
    </w:r>
    <w:r w:rsidRPr="003D4C05">
      <w:rPr>
        <w:rFonts w:ascii="Times New Roman" w:hAnsi="Times New Roman" w:cs="Times New Roman"/>
        <w:sz w:val="24"/>
        <w:szCs w:val="24"/>
        <w:rtl/>
        <w:lang w:bidi="ar-DZ"/>
      </w:rPr>
      <w:t>جامعة الجزائر2</w:t>
    </w:r>
    <w:r w:rsidRPr="003D4C05">
      <w:rPr>
        <w:rFonts w:ascii="Times New Roman" w:hAnsi="Times New Roman" w:cs="Times New Roman" w:hint="cs"/>
        <w:sz w:val="24"/>
        <w:szCs w:val="24"/>
        <w:rtl/>
        <w:lang w:bidi="ar-DZ"/>
      </w:rPr>
      <w:t xml:space="preserve">، عمارة مخابر البحث،شارع </w:t>
    </w:r>
    <w:r w:rsidRPr="003D4C05">
      <w:rPr>
        <w:rFonts w:ascii="Times New Roman" w:hAnsi="Times New Roman" w:cs="Times New Roman"/>
        <w:sz w:val="24"/>
        <w:szCs w:val="24"/>
        <w:rtl/>
        <w:lang w:bidi="ar-DZ"/>
      </w:rPr>
      <w:t>جمال الدين الأفغاني – بوزريعة – الجزائر</w:t>
    </w:r>
    <w:r w:rsidRPr="003D4C05">
      <w:rPr>
        <w:rFonts w:ascii="Times New Roman" w:hAnsi="Times New Roman" w:cs="Times New Roman"/>
        <w:sz w:val="24"/>
        <w:szCs w:val="24"/>
        <w:lang w:bidi="ar-DZ"/>
      </w:rPr>
      <w:t>-</w:t>
    </w:r>
    <w:r w:rsidRPr="003D4C05">
      <w:rPr>
        <w:rFonts w:ascii="Times New Roman" w:hAnsi="Times New Roman" w:cs="Times New Roman" w:hint="cs"/>
        <w:b/>
        <w:bCs/>
        <w:sz w:val="24"/>
        <w:szCs w:val="24"/>
        <w:rtl/>
        <w:lang w:bidi="ar-DZ"/>
      </w:rPr>
      <w:t>الموقع الإلكتروني</w:t>
    </w:r>
    <w:r w:rsidRPr="003D4C05">
      <w:rPr>
        <w:rFonts w:ascii="Times New Roman" w:hAnsi="Times New Roman" w:cs="Times New Roman"/>
        <w:b/>
        <w:bCs/>
        <w:sz w:val="24"/>
        <w:szCs w:val="24"/>
        <w:lang w:bidi="ar-DZ"/>
      </w:rPr>
      <w:t>(URL</w:t>
    </w:r>
    <w:r w:rsidRPr="003D4C05">
      <w:rPr>
        <w:rFonts w:ascii="Times New Roman" w:hAnsi="Times New Roman" w:cs="Times New Roman"/>
        <w:sz w:val="24"/>
        <w:szCs w:val="24"/>
        <w:lang w:bidi="ar-DZ"/>
      </w:rPr>
      <w:t>)</w:t>
    </w:r>
    <w:r w:rsidRPr="003D4C05">
      <w:rPr>
        <w:rFonts w:ascii="Times New Roman" w:hAnsi="Times New Roman" w:cs="Times New Roman" w:hint="cs"/>
        <w:sz w:val="24"/>
        <w:szCs w:val="24"/>
        <w:rtl/>
        <w:lang w:bidi="ar-DZ"/>
      </w:rPr>
      <w:t xml:space="preserve">: </w:t>
    </w:r>
    <w:r w:rsidRPr="003D4C05">
      <w:rPr>
        <w:rFonts w:ascii="Times New Roman" w:hAnsi="Times New Roman" w:cs="Times New Roman"/>
        <w:sz w:val="24"/>
        <w:szCs w:val="24"/>
        <w:lang w:bidi="ar-DZ"/>
      </w:rPr>
      <w:t xml:space="preserve">  - </w:t>
    </w:r>
    <w:r w:rsidRPr="003D4C05">
      <w:rPr>
        <w:rFonts w:ascii="Arial" w:hAnsi="Arial"/>
        <w:sz w:val="24"/>
        <w:szCs w:val="24"/>
      </w:rPr>
      <w:t>http://www.asjp.cerist.dz/en/PresentationRevue/283</w:t>
    </w:r>
  </w:p>
  <w:p w:rsidR="004F75E3" w:rsidRPr="00D311B5" w:rsidRDefault="004F75E3" w:rsidP="004F75E3">
    <w:pPr>
      <w:pStyle w:val="Pieddepage"/>
      <w:tabs>
        <w:tab w:val="center" w:pos="5953"/>
        <w:tab w:val="left" w:pos="8134"/>
      </w:tabs>
      <w:bidi/>
      <w:rPr>
        <w:b/>
        <w:bCs/>
        <w:sz w:val="16"/>
        <w:szCs w:val="16"/>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5E3" w:rsidRPr="00D311B5" w:rsidRDefault="000156F1" w:rsidP="004F75E3">
    <w:pPr>
      <w:pStyle w:val="Pieddepage"/>
      <w:ind w:right="-1417" w:hanging="1276"/>
      <w:jc w:val="center"/>
      <w:rPr>
        <w:sz w:val="14"/>
        <w:szCs w:val="14"/>
        <w:rtl/>
        <w:lang w:bidi="ar-DZ"/>
      </w:rPr>
    </w:pPr>
    <w:r w:rsidRPr="000156F1">
      <w:rPr>
        <w:noProof/>
        <w:sz w:val="2"/>
        <w:szCs w:val="2"/>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8" o:spid="_x0000_s4097" type="#_x0000_t5" style="position:absolute;left:0;text-align:left;margin-left:.6pt;margin-top:685.2pt;width:167.4pt;height:161.8pt;flip:x;z-index:-2516500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" adj="21600" fillcolor="#d2eaf1" stroked="f">
          <v:textbox>
            <w:txbxContent>
              <w:p w:rsidR="004F75E3" w:rsidRPr="00701E96" w:rsidRDefault="004F75E3" w:rsidP="004F75E3">
                <w:pPr>
                  <w:rPr>
                    <w:szCs w:val="72"/>
                  </w:rPr>
                </w:pPr>
              </w:p>
            </w:txbxContent>
          </v:textbox>
          <w10:wrap anchorx="page" anchory="page"/>
        </v:shape>
      </w:pict>
    </w:r>
    <w:r w:rsidR="004F75E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4F75E3">
      <w:rPr>
        <w:rFonts w:hint="cs"/>
        <w:sz w:val="10"/>
        <w:szCs w:val="10"/>
        <w:rtl/>
      </w:rPr>
      <w:t>ـــــــــــــــــــ</w:t>
    </w:r>
    <w:r w:rsidR="004F75E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4F75E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4F75E3" w:rsidRPr="00530914" w:rsidRDefault="004F75E3" w:rsidP="00F915E9">
    <w:pPr>
      <w:pStyle w:val="Pieddepage"/>
      <w:bidi/>
      <w:ind w:hanging="851"/>
      <w:jc w:val="center"/>
      <w:rPr>
        <w:sz w:val="24"/>
        <w:szCs w:val="24"/>
      </w:rPr>
    </w:pPr>
    <w:r w:rsidRPr="00530914">
      <w:rPr>
        <w:rFonts w:ascii="Times New Roman" w:hAnsi="Times New Roman" w:cs="Times New Roman" w:hint="cs"/>
        <w:b/>
        <w:bCs/>
        <w:sz w:val="24"/>
        <w:szCs w:val="24"/>
        <w:rtl/>
        <w:lang w:bidi="ar-DZ"/>
      </w:rPr>
      <w:t xml:space="preserve">العنوان: </w:t>
    </w:r>
    <w:r w:rsidRPr="00530914">
      <w:rPr>
        <w:rFonts w:ascii="Times New Roman" w:hAnsi="Times New Roman" w:cs="Times New Roman"/>
        <w:sz w:val="24"/>
        <w:szCs w:val="24"/>
        <w:rtl/>
        <w:lang w:bidi="ar-DZ"/>
      </w:rPr>
      <w:t>جامعة الجزائر2</w:t>
    </w:r>
    <w:r w:rsidRPr="00530914">
      <w:rPr>
        <w:rFonts w:ascii="Times New Roman" w:hAnsi="Times New Roman" w:cs="Times New Roman" w:hint="cs"/>
        <w:sz w:val="24"/>
        <w:szCs w:val="24"/>
        <w:rtl/>
        <w:lang w:bidi="ar-DZ"/>
      </w:rPr>
      <w:t>، عمارة البحث،</w:t>
    </w:r>
    <w:r w:rsidRPr="00530914">
      <w:rPr>
        <w:rFonts w:ascii="Times New Roman" w:hAnsi="Times New Roman" w:cs="Times New Roman"/>
        <w:sz w:val="24"/>
        <w:szCs w:val="24"/>
        <w:rtl/>
        <w:lang w:bidi="ar-DZ"/>
      </w:rPr>
      <w:t xml:space="preserve"> جمال الدين الأفغاني – بوزريعة – الجزائر</w:t>
    </w:r>
    <w:r w:rsidRPr="00530914">
      <w:rPr>
        <w:rFonts w:ascii="Times New Roman" w:hAnsi="Times New Roman" w:cs="Times New Roman"/>
        <w:sz w:val="24"/>
        <w:szCs w:val="24"/>
        <w:lang w:bidi="ar-DZ"/>
      </w:rPr>
      <w:t>-</w:t>
    </w:r>
    <w:r w:rsidRPr="00530914">
      <w:rPr>
        <w:rFonts w:ascii="Times New Roman" w:hAnsi="Times New Roman" w:cs="Times New Roman" w:hint="cs"/>
        <w:b/>
        <w:bCs/>
        <w:sz w:val="24"/>
        <w:szCs w:val="24"/>
        <w:rtl/>
        <w:lang w:bidi="ar-DZ"/>
      </w:rPr>
      <w:t>الموقع الإلكتروني</w:t>
    </w:r>
    <w:r w:rsidRPr="00530914">
      <w:rPr>
        <w:rFonts w:ascii="Times New Roman" w:hAnsi="Times New Roman" w:cs="Times New Roman"/>
        <w:b/>
        <w:bCs/>
        <w:sz w:val="24"/>
        <w:szCs w:val="24"/>
        <w:lang w:bidi="ar-DZ"/>
      </w:rPr>
      <w:t>(URL</w:t>
    </w:r>
    <w:r w:rsidRPr="00530914">
      <w:rPr>
        <w:rFonts w:ascii="Times New Roman" w:hAnsi="Times New Roman" w:cs="Times New Roman"/>
        <w:sz w:val="24"/>
        <w:szCs w:val="24"/>
        <w:lang w:bidi="ar-DZ"/>
      </w:rPr>
      <w:t>)</w:t>
    </w:r>
    <w:r w:rsidRPr="00530914">
      <w:rPr>
        <w:rFonts w:ascii="Times New Roman" w:hAnsi="Times New Roman" w:cs="Times New Roman" w:hint="cs"/>
        <w:sz w:val="24"/>
        <w:szCs w:val="24"/>
        <w:rtl/>
        <w:lang w:bidi="ar-DZ"/>
      </w:rPr>
      <w:t xml:space="preserve">: </w:t>
    </w:r>
    <w:r w:rsidRPr="00530914">
      <w:rPr>
        <w:rFonts w:ascii="Times New Roman" w:hAnsi="Times New Roman" w:cs="Times New Roman"/>
        <w:sz w:val="24"/>
        <w:szCs w:val="24"/>
        <w:lang w:bidi="ar-DZ"/>
      </w:rPr>
      <w:t xml:space="preserve">  - </w:t>
    </w:r>
    <w:r w:rsidRPr="00530914">
      <w:rPr>
        <w:rFonts w:ascii="Arial" w:hAnsi="Arial"/>
        <w:sz w:val="24"/>
        <w:szCs w:val="24"/>
      </w:rPr>
      <w:t>http://www.asjp.cerist.dz/en/PresentationRevue/283</w:t>
    </w:r>
  </w:p>
  <w:p w:rsidR="004F75E3" w:rsidRPr="00D311B5" w:rsidRDefault="004F75E3" w:rsidP="004F75E3">
    <w:pPr>
      <w:pStyle w:val="Pieddepage"/>
      <w:tabs>
        <w:tab w:val="center" w:pos="5953"/>
        <w:tab w:val="left" w:pos="8134"/>
      </w:tabs>
      <w:bidi/>
      <w:rPr>
        <w:b/>
        <w:bCs/>
        <w:sz w:val="16"/>
        <w:szCs w:val="16"/>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765C" w:rsidRDefault="000E765C" w:rsidP="00B5706E">
      <w:pPr>
        <w:bidi/>
        <w:spacing w:after="0" w:line="240" w:lineRule="auto"/>
      </w:pPr>
      <w:r>
        <w:separator/>
      </w:r>
    </w:p>
  </w:footnote>
  <w:footnote w:type="continuationSeparator" w:id="1">
    <w:p w:rsidR="000E765C" w:rsidRDefault="000E765C" w:rsidP="00A27053">
      <w:pPr>
        <w:spacing w:after="0" w:line="240" w:lineRule="auto"/>
      </w:pPr>
      <w:r>
        <w:continuationSeparator/>
      </w:r>
    </w:p>
  </w:footnote>
  <w:footnote w:id="2">
    <w:p w:rsidR="004F75E3" w:rsidRPr="00655DD2" w:rsidRDefault="004F75E3" w:rsidP="00826460">
      <w:pPr>
        <w:pStyle w:val="Notedebasdepage"/>
        <w:jc w:val="both"/>
        <w:rPr>
          <w:rFonts w:asciiTheme="majorBidi" w:hAnsiTheme="majorBidi" w:cstheme="majorBidi"/>
          <w:sz w:val="24"/>
          <w:szCs w:val="24"/>
          <w:rtl/>
        </w:rPr>
      </w:pPr>
      <w:r w:rsidRPr="00655DD2">
        <w:rPr>
          <w:rStyle w:val="Appelnotedebasdep"/>
          <w:rFonts w:asciiTheme="majorBidi" w:hAnsiTheme="majorBidi" w:cstheme="majorBidi"/>
          <w:sz w:val="24"/>
          <w:szCs w:val="24"/>
        </w:rPr>
        <w:footnoteRef/>
      </w:r>
      <w:r w:rsidRPr="00655DD2">
        <w:rPr>
          <w:rFonts w:asciiTheme="majorBidi" w:hAnsiTheme="majorBidi" w:cstheme="majorBidi"/>
          <w:sz w:val="24"/>
          <w:szCs w:val="24"/>
        </w:rPr>
        <w:t xml:space="preserve">Remy Chauvin, </w:t>
      </w:r>
      <w:r w:rsidRPr="00655DD2">
        <w:rPr>
          <w:rFonts w:asciiTheme="majorBidi" w:hAnsiTheme="majorBidi" w:cstheme="majorBidi"/>
          <w:b/>
          <w:bCs/>
          <w:sz w:val="24"/>
          <w:szCs w:val="24"/>
        </w:rPr>
        <w:t>les societé animales</w:t>
      </w:r>
      <w:r w:rsidRPr="00655DD2">
        <w:rPr>
          <w:rFonts w:asciiTheme="majorBidi" w:hAnsiTheme="majorBidi" w:cstheme="majorBidi"/>
          <w:sz w:val="24"/>
          <w:szCs w:val="24"/>
        </w:rPr>
        <w:t>, éd Plom, Paris 1963, P51. et Von Frisch, Vie et mœurs des abeilles, éd Albin Michel, Paris 1965, P 159.</w:t>
      </w:r>
    </w:p>
  </w:footnote>
  <w:footnote w:id="3">
    <w:p w:rsidR="004F75E3" w:rsidRPr="00655DD2" w:rsidRDefault="004F75E3" w:rsidP="00826460">
      <w:pPr>
        <w:pStyle w:val="Notedebasdepage"/>
        <w:jc w:val="both"/>
        <w:rPr>
          <w:rFonts w:asciiTheme="majorBidi" w:hAnsiTheme="majorBidi" w:cstheme="majorBidi"/>
          <w:sz w:val="24"/>
          <w:szCs w:val="24"/>
          <w:rtl/>
          <w:lang w:bidi="ar-DZ"/>
        </w:rPr>
      </w:pPr>
      <w:r w:rsidRPr="00655DD2">
        <w:rPr>
          <w:rStyle w:val="Appelnotedebasdep"/>
          <w:rFonts w:asciiTheme="majorBidi" w:hAnsiTheme="majorBidi" w:cstheme="majorBidi"/>
          <w:sz w:val="24"/>
          <w:szCs w:val="24"/>
        </w:rPr>
        <w:footnoteRef/>
      </w:r>
      <w:r w:rsidRPr="00655DD2">
        <w:rPr>
          <w:rFonts w:asciiTheme="majorBidi" w:hAnsiTheme="majorBidi" w:cstheme="majorBidi"/>
          <w:sz w:val="24"/>
          <w:szCs w:val="24"/>
        </w:rPr>
        <w:t xml:space="preserve">Emile Benveniste, </w:t>
      </w:r>
      <w:r w:rsidRPr="00655DD2">
        <w:rPr>
          <w:rFonts w:asciiTheme="majorBidi" w:hAnsiTheme="majorBidi" w:cstheme="majorBidi"/>
          <w:b/>
          <w:bCs/>
          <w:sz w:val="24"/>
          <w:szCs w:val="24"/>
        </w:rPr>
        <w:t>Problème de linguistique générale</w:t>
      </w:r>
      <w:r w:rsidRPr="00655DD2">
        <w:rPr>
          <w:rFonts w:asciiTheme="majorBidi" w:hAnsiTheme="majorBidi" w:cstheme="majorBidi"/>
          <w:sz w:val="24"/>
          <w:szCs w:val="24"/>
        </w:rPr>
        <w:t>, éd Gallimard Paris, 1966, P27, P61.</w:t>
      </w:r>
    </w:p>
  </w:footnote>
  <w:footnote w:id="4">
    <w:p w:rsidR="004F75E3" w:rsidRPr="00826460" w:rsidRDefault="004F75E3" w:rsidP="00826460">
      <w:pPr>
        <w:pStyle w:val="Notedebasdepage"/>
        <w:bidi/>
        <w:jc w:val="both"/>
        <w:rPr>
          <w:sz w:val="24"/>
          <w:szCs w:val="24"/>
          <w:rtl/>
          <w:lang w:bidi="ar-DZ"/>
        </w:rPr>
      </w:pPr>
      <w:r w:rsidRPr="00826460">
        <w:rPr>
          <w:rStyle w:val="Appelnotedebasdep"/>
          <w:sz w:val="24"/>
          <w:szCs w:val="24"/>
        </w:rPr>
        <w:footnoteRef/>
      </w:r>
      <w:r w:rsidRPr="00826460">
        <w:rPr>
          <w:rFonts w:hint="cs"/>
          <w:sz w:val="24"/>
          <w:szCs w:val="24"/>
          <w:rtl/>
        </w:rPr>
        <w:t xml:space="preserve">جيرار جهامي، </w:t>
      </w:r>
      <w:r w:rsidRPr="00826460">
        <w:rPr>
          <w:rFonts w:hint="cs"/>
          <w:b/>
          <w:bCs/>
          <w:sz w:val="24"/>
          <w:szCs w:val="24"/>
          <w:rtl/>
        </w:rPr>
        <w:t>الإشكالية اللغوية في الفلسفية العربية</w:t>
      </w:r>
      <w:r w:rsidRPr="00826460">
        <w:rPr>
          <w:rFonts w:hint="cs"/>
          <w:sz w:val="24"/>
          <w:szCs w:val="24"/>
          <w:rtl/>
        </w:rPr>
        <w:t>، بيروت، دار المشرق، ط1، 1994، ص 13.</w:t>
      </w:r>
    </w:p>
  </w:footnote>
  <w:footnote w:id="5">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رفيق العجم، مقدمة كتاب، </w:t>
      </w:r>
      <w:r w:rsidRPr="00EF51D6">
        <w:rPr>
          <w:rFonts w:ascii="Simplified Arabic" w:hAnsi="Simplified Arabic" w:cs="Simplified Arabic"/>
          <w:b/>
          <w:bCs/>
          <w:sz w:val="24"/>
          <w:szCs w:val="24"/>
          <w:rtl/>
        </w:rPr>
        <w:t>كشاف اصطلاحات الفنون والعلوم للتهانوي</w:t>
      </w:r>
      <w:r w:rsidRPr="00EF51D6">
        <w:rPr>
          <w:rFonts w:ascii="Simplified Arabic" w:hAnsi="Simplified Arabic" w:cs="Simplified Arabic"/>
          <w:sz w:val="24"/>
          <w:szCs w:val="24"/>
          <w:rtl/>
        </w:rPr>
        <w:t xml:space="preserve">، ج 1، ص </w:t>
      </w:r>
      <w:r w:rsidRPr="00EF51D6">
        <w:rPr>
          <w:rFonts w:ascii="Simplified Arabic" w:hAnsi="Simplified Arabic" w:cs="Simplified Arabic"/>
          <w:sz w:val="24"/>
          <w:szCs w:val="24"/>
        </w:rPr>
        <w:t>VIII</w:t>
      </w:r>
      <w:r w:rsidRPr="00EF51D6">
        <w:rPr>
          <w:rFonts w:ascii="Simplified Arabic" w:hAnsi="Simplified Arabic" w:cs="Simplified Arabic"/>
          <w:sz w:val="24"/>
          <w:szCs w:val="24"/>
          <w:rtl/>
        </w:rPr>
        <w:t>.</w:t>
      </w:r>
    </w:p>
  </w:footnote>
  <w:footnote w:id="6">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جيرار جُهامي، </w:t>
      </w:r>
      <w:r w:rsidRPr="00EF51D6">
        <w:rPr>
          <w:rFonts w:ascii="Simplified Arabic" w:hAnsi="Simplified Arabic" w:cs="Simplified Arabic"/>
          <w:b/>
          <w:bCs/>
          <w:sz w:val="24"/>
          <w:szCs w:val="24"/>
          <w:rtl/>
        </w:rPr>
        <w:t>الإشكالية اللغوية في الفلسفة العربية</w:t>
      </w:r>
      <w:r w:rsidRPr="00EF51D6">
        <w:rPr>
          <w:rFonts w:ascii="Simplified Arabic" w:hAnsi="Simplified Arabic" w:cs="Simplified Arabic"/>
          <w:sz w:val="24"/>
          <w:szCs w:val="24"/>
          <w:rtl/>
        </w:rPr>
        <w:t>، مرجع سابق، ص 13.</w:t>
      </w:r>
    </w:p>
  </w:footnote>
  <w:footnote w:id="7">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المرجع نفسه،</w:t>
      </w:r>
      <w:r w:rsidRPr="00EF51D6">
        <w:rPr>
          <w:rFonts w:ascii="Simplified Arabic" w:hAnsi="Simplified Arabic" w:cs="Simplified Arabic"/>
          <w:sz w:val="24"/>
          <w:szCs w:val="24"/>
          <w:rtl/>
        </w:rPr>
        <w:t xml:space="preserve"> ص 9.</w:t>
      </w:r>
    </w:p>
  </w:footnote>
  <w:footnote w:id="8">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أبو حيان التوحيدي، </w:t>
      </w:r>
      <w:r w:rsidR="00EF51D6">
        <w:rPr>
          <w:rFonts w:ascii="Simplified Arabic" w:hAnsi="Simplified Arabic" w:cs="Simplified Arabic"/>
          <w:b/>
          <w:bCs/>
          <w:sz w:val="24"/>
          <w:szCs w:val="24"/>
          <w:rtl/>
        </w:rPr>
        <w:t>ا</w:t>
      </w:r>
      <w:r w:rsidR="00EF51D6">
        <w:rPr>
          <w:rFonts w:ascii="Simplified Arabic" w:hAnsi="Simplified Arabic" w:cs="Simplified Arabic" w:hint="cs"/>
          <w:b/>
          <w:bCs/>
          <w:sz w:val="24"/>
          <w:szCs w:val="24"/>
          <w:rtl/>
          <w:lang w:bidi="ar-DZ"/>
        </w:rPr>
        <w:t>لإ</w:t>
      </w:r>
      <w:r w:rsidRPr="00EF51D6">
        <w:rPr>
          <w:rFonts w:ascii="Simplified Arabic" w:hAnsi="Simplified Arabic" w:cs="Simplified Arabic"/>
          <w:b/>
          <w:bCs/>
          <w:sz w:val="24"/>
          <w:szCs w:val="24"/>
          <w:rtl/>
        </w:rPr>
        <w:t>متاع والمؤانسة</w:t>
      </w:r>
      <w:r w:rsidRPr="00EF51D6">
        <w:rPr>
          <w:rFonts w:ascii="Simplified Arabic" w:hAnsi="Simplified Arabic" w:cs="Simplified Arabic"/>
          <w:sz w:val="24"/>
          <w:szCs w:val="24"/>
          <w:rtl/>
        </w:rPr>
        <w:t>، ج 1، ص 116.</w:t>
      </w:r>
    </w:p>
  </w:footnote>
  <w:footnote w:id="9">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أبو حيان التوحيدي، </w:t>
      </w:r>
      <w:r w:rsidRPr="00EF51D6">
        <w:rPr>
          <w:rFonts w:ascii="Simplified Arabic" w:hAnsi="Simplified Arabic" w:cs="Simplified Arabic"/>
          <w:b/>
          <w:bCs/>
          <w:sz w:val="24"/>
          <w:szCs w:val="24"/>
          <w:rtl/>
        </w:rPr>
        <w:t>البصائر والذخائر</w:t>
      </w:r>
      <w:r w:rsidRPr="00EF51D6">
        <w:rPr>
          <w:rFonts w:ascii="Simplified Arabic" w:hAnsi="Simplified Arabic" w:cs="Simplified Arabic"/>
          <w:sz w:val="24"/>
          <w:szCs w:val="24"/>
          <w:rtl/>
        </w:rPr>
        <w:t>، دمشق، مطبعة الإرشاد، 1964، ج 3، ص 49.</w:t>
      </w:r>
    </w:p>
  </w:footnote>
  <w:footnote w:id="10">
    <w:p w:rsidR="004F75E3" w:rsidRPr="00655DD2" w:rsidRDefault="004F75E3" w:rsidP="005166BB">
      <w:pPr>
        <w:pStyle w:val="Notedebasdepage"/>
        <w:jc w:val="both"/>
        <w:rPr>
          <w:rFonts w:asciiTheme="majorBidi" w:hAnsiTheme="majorBidi" w:cstheme="majorBidi"/>
          <w:sz w:val="24"/>
          <w:szCs w:val="24"/>
          <w:rtl/>
          <w:lang w:bidi="ar-DZ"/>
        </w:rPr>
      </w:pPr>
      <w:r w:rsidRPr="00655DD2">
        <w:rPr>
          <w:rStyle w:val="Appelnotedebasdep"/>
          <w:rFonts w:asciiTheme="majorBidi" w:hAnsiTheme="majorBidi" w:cstheme="majorBidi"/>
          <w:sz w:val="24"/>
          <w:szCs w:val="24"/>
        </w:rPr>
        <w:footnoteRef/>
      </w:r>
      <w:r w:rsidRPr="00655DD2">
        <w:rPr>
          <w:rFonts w:asciiTheme="majorBidi" w:hAnsiTheme="majorBidi" w:cstheme="majorBidi"/>
          <w:b/>
          <w:bCs/>
          <w:sz w:val="24"/>
          <w:szCs w:val="24"/>
        </w:rPr>
        <w:t>Méthodologie philosophique</w:t>
      </w:r>
      <w:r w:rsidRPr="00655DD2">
        <w:rPr>
          <w:rFonts w:asciiTheme="majorBidi" w:hAnsiTheme="majorBidi" w:cstheme="majorBidi"/>
          <w:sz w:val="24"/>
          <w:szCs w:val="24"/>
        </w:rPr>
        <w:t>, P154.</w:t>
      </w:r>
    </w:p>
  </w:footnote>
  <w:footnote w:id="11">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محمد الصغير بناني، </w:t>
      </w:r>
      <w:r w:rsidRPr="00EF51D6">
        <w:rPr>
          <w:rFonts w:ascii="Simplified Arabic" w:hAnsi="Simplified Arabic" w:cs="Simplified Arabic"/>
          <w:b/>
          <w:bCs/>
          <w:sz w:val="24"/>
          <w:szCs w:val="24"/>
          <w:rtl/>
        </w:rPr>
        <w:t>النظريات اللسانية والبلاغية عند العرب،</w:t>
      </w:r>
      <w:r w:rsidRPr="00EF51D6">
        <w:rPr>
          <w:rFonts w:ascii="Simplified Arabic" w:hAnsi="Simplified Arabic" w:cs="Simplified Arabic"/>
          <w:sz w:val="24"/>
          <w:szCs w:val="24"/>
          <w:rtl/>
        </w:rPr>
        <w:t xml:space="preserve"> بيروت، دار الحداثة، ط 1، 1986، ص 199.</w:t>
      </w:r>
    </w:p>
  </w:footnote>
  <w:footnote w:id="12">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عز العرب لحكيم، </w:t>
      </w:r>
      <w:r w:rsidRPr="00EF51D6">
        <w:rPr>
          <w:rFonts w:ascii="Simplified Arabic" w:hAnsi="Simplified Arabic" w:cs="Simplified Arabic"/>
          <w:b/>
          <w:bCs/>
          <w:sz w:val="24"/>
          <w:szCs w:val="24"/>
          <w:rtl/>
        </w:rPr>
        <w:t>اللغة والدلالة والصيغة الذهنية في فلسفة أنطون مازتي</w:t>
      </w:r>
      <w:r w:rsidRPr="00EF51D6">
        <w:rPr>
          <w:rFonts w:ascii="Simplified Arabic" w:hAnsi="Simplified Arabic" w:cs="Simplified Arabic"/>
          <w:sz w:val="24"/>
          <w:szCs w:val="24"/>
          <w:rtl/>
        </w:rPr>
        <w:t>، كتاب مجالات لغوية، منشورات كلية الأداب والعلوم الإنسانية بالرباط، ط 2، 1994، ص 119</w:t>
      </w:r>
    </w:p>
  </w:footnote>
  <w:footnote w:id="13">
    <w:p w:rsidR="004F75E3" w:rsidRPr="00822176" w:rsidRDefault="004F75E3" w:rsidP="005166BB">
      <w:pPr>
        <w:pStyle w:val="Notedebasdepage"/>
        <w:jc w:val="both"/>
        <w:rPr>
          <w:rFonts w:asciiTheme="majorBidi" w:hAnsiTheme="majorBidi" w:cstheme="majorBidi"/>
          <w:rtl/>
          <w:lang w:bidi="ar-DZ"/>
        </w:rPr>
      </w:pPr>
      <w:r w:rsidRPr="00822176">
        <w:rPr>
          <w:rStyle w:val="Appelnotedebasdep"/>
          <w:rFonts w:asciiTheme="majorBidi" w:hAnsiTheme="majorBidi" w:cstheme="majorBidi"/>
          <w:sz w:val="24"/>
          <w:szCs w:val="24"/>
        </w:rPr>
        <w:footnoteRef/>
      </w:r>
      <w:r w:rsidRPr="00822176">
        <w:rPr>
          <w:rFonts w:asciiTheme="majorBidi" w:hAnsiTheme="majorBidi" w:cstheme="majorBidi"/>
          <w:sz w:val="24"/>
          <w:szCs w:val="24"/>
        </w:rPr>
        <w:t>M. Ruyer</w:t>
      </w:r>
      <w:r w:rsidRPr="00822176">
        <w:rPr>
          <w:rFonts w:asciiTheme="majorBidi" w:hAnsiTheme="majorBidi" w:cstheme="majorBidi"/>
          <w:b/>
          <w:bCs/>
          <w:sz w:val="24"/>
          <w:szCs w:val="24"/>
        </w:rPr>
        <w:t>, La Cybernétique et l'origine de L'information</w:t>
      </w:r>
      <w:r w:rsidRPr="00822176">
        <w:rPr>
          <w:rFonts w:asciiTheme="majorBidi" w:hAnsiTheme="majorBidi" w:cstheme="majorBidi"/>
          <w:sz w:val="24"/>
          <w:szCs w:val="24"/>
        </w:rPr>
        <w:t>, éd Flammarion, 1954, P137-138, P235.</w:t>
      </w:r>
    </w:p>
  </w:footnote>
  <w:footnote w:id="14">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اللسان والميزان</w:t>
      </w:r>
      <w:r w:rsidRPr="00EF51D6">
        <w:rPr>
          <w:rFonts w:ascii="Simplified Arabic" w:hAnsi="Simplified Arabic" w:cs="Simplified Arabic"/>
          <w:sz w:val="24"/>
          <w:szCs w:val="24"/>
          <w:rtl/>
        </w:rPr>
        <w:t>، مرجع سابق، ص 216.</w:t>
      </w:r>
    </w:p>
  </w:footnote>
  <w:footnote w:id="15">
    <w:p w:rsidR="004F75E3" w:rsidRPr="005166BB" w:rsidRDefault="004F75E3" w:rsidP="005166BB">
      <w:pPr>
        <w:pStyle w:val="Notedebasdepage"/>
        <w:bidi/>
        <w:jc w:val="both"/>
        <w:rPr>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بدر الدين الزركشي، </w:t>
      </w:r>
      <w:r w:rsidRPr="00EF51D6">
        <w:rPr>
          <w:rFonts w:ascii="Simplified Arabic" w:hAnsi="Simplified Arabic" w:cs="Simplified Arabic"/>
          <w:b/>
          <w:bCs/>
          <w:sz w:val="24"/>
          <w:szCs w:val="24"/>
          <w:rtl/>
        </w:rPr>
        <w:t>البحر المحيط في أصول الفقه</w:t>
      </w:r>
      <w:r w:rsidRPr="00EF51D6">
        <w:rPr>
          <w:rFonts w:ascii="Simplified Arabic" w:hAnsi="Simplified Arabic" w:cs="Simplified Arabic"/>
          <w:sz w:val="24"/>
          <w:szCs w:val="24"/>
          <w:rtl/>
        </w:rPr>
        <w:t>، الكويت دار الصفوة، ط 2، 1992، ج1، ص 126-127.</w:t>
      </w:r>
    </w:p>
  </w:footnote>
  <w:footnote w:id="16">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Fonts w:ascii="Simplified Arabic" w:hAnsi="Simplified Arabic" w:cs="Simplified Arabic"/>
          <w:sz w:val="24"/>
          <w:szCs w:val="24"/>
          <w:rtl/>
        </w:rPr>
        <w:t xml:space="preserve">الشريف المرتضى، </w:t>
      </w:r>
      <w:r w:rsidRPr="00EF51D6">
        <w:rPr>
          <w:rFonts w:ascii="Simplified Arabic" w:hAnsi="Simplified Arabic" w:cs="Simplified Arabic"/>
          <w:b/>
          <w:bCs/>
          <w:sz w:val="24"/>
          <w:szCs w:val="24"/>
          <w:rtl/>
        </w:rPr>
        <w:t>الذريعة إلى أصول الشريعة</w:t>
      </w:r>
      <w:r w:rsidRPr="00EF51D6">
        <w:rPr>
          <w:rFonts w:ascii="Simplified Arabic" w:hAnsi="Simplified Arabic" w:cs="Simplified Arabic"/>
          <w:sz w:val="24"/>
          <w:szCs w:val="24"/>
          <w:rtl/>
        </w:rPr>
        <w:t>، ج 1، ص 8.</w:t>
      </w:r>
      <w:r w:rsidRPr="00EF51D6">
        <w:rPr>
          <w:rStyle w:val="Appelnotedebasdep"/>
          <w:rFonts w:ascii="Simplified Arabic" w:hAnsi="Simplified Arabic" w:cs="Simplified Arabic"/>
          <w:sz w:val="24"/>
          <w:szCs w:val="24"/>
        </w:rPr>
        <w:footnoteRef/>
      </w:r>
    </w:p>
  </w:footnote>
  <w:footnote w:id="17">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سيف الدين الأمدي، </w:t>
      </w:r>
      <w:r w:rsidRPr="00EF51D6">
        <w:rPr>
          <w:rFonts w:ascii="Simplified Arabic" w:hAnsi="Simplified Arabic" w:cs="Simplified Arabic"/>
          <w:b/>
          <w:bCs/>
          <w:sz w:val="24"/>
          <w:szCs w:val="24"/>
          <w:rtl/>
        </w:rPr>
        <w:t>الإحكام في أصول الأحكام</w:t>
      </w:r>
      <w:r w:rsidRPr="00EF51D6">
        <w:rPr>
          <w:rFonts w:ascii="Simplified Arabic" w:hAnsi="Simplified Arabic" w:cs="Simplified Arabic"/>
          <w:sz w:val="24"/>
          <w:szCs w:val="24"/>
          <w:rtl/>
        </w:rPr>
        <w:t>، مرجع سابق، ج 1، ص 136.</w:t>
      </w:r>
    </w:p>
  </w:footnote>
  <w:footnote w:id="18">
    <w:p w:rsidR="004F75E3" w:rsidRPr="00EF51D6" w:rsidRDefault="004F75E3" w:rsidP="005166BB">
      <w:pPr>
        <w:pStyle w:val="Notedebasdepage"/>
        <w:bidi/>
        <w:jc w:val="both"/>
        <w:rPr>
          <w:rFonts w:ascii="Simplified Arabic" w:hAnsi="Simplified Arabic" w:cs="Simplified Arabic"/>
          <w:sz w:val="24"/>
          <w:szCs w:val="24"/>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انظر </w:t>
      </w:r>
      <w:r w:rsidRPr="00EF51D6">
        <w:rPr>
          <w:rFonts w:ascii="Simplified Arabic" w:hAnsi="Simplified Arabic" w:cs="Simplified Arabic"/>
          <w:b/>
          <w:bCs/>
          <w:sz w:val="24"/>
          <w:szCs w:val="24"/>
          <w:rtl/>
        </w:rPr>
        <w:t>كشاف اصطلاحات الفنون والعلوم</w:t>
      </w:r>
      <w:r w:rsidRPr="00EF51D6">
        <w:rPr>
          <w:rFonts w:ascii="Simplified Arabic" w:hAnsi="Simplified Arabic" w:cs="Simplified Arabic"/>
          <w:sz w:val="24"/>
          <w:szCs w:val="24"/>
          <w:rtl/>
        </w:rPr>
        <w:t>، مرجع سابق، ج1، ص 749.</w:t>
      </w:r>
    </w:p>
  </w:footnote>
  <w:footnote w:id="19">
    <w:p w:rsidR="004F75E3" w:rsidRPr="00EF51D6" w:rsidRDefault="004F75E3" w:rsidP="005166BB">
      <w:pPr>
        <w:pStyle w:val="Notedebasdepage"/>
        <w:bidi/>
        <w:jc w:val="both"/>
        <w:rPr>
          <w:rFonts w:ascii="Simplified Arabic" w:hAnsi="Simplified Arabic" w:cs="Simplified Arabic"/>
          <w:sz w:val="24"/>
          <w:szCs w:val="24"/>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الأسنوي، جمال الدين ابن محمد، </w:t>
      </w:r>
      <w:r w:rsidRPr="00EF51D6">
        <w:rPr>
          <w:rFonts w:ascii="Simplified Arabic" w:hAnsi="Simplified Arabic" w:cs="Simplified Arabic"/>
          <w:b/>
          <w:bCs/>
          <w:sz w:val="24"/>
          <w:szCs w:val="24"/>
          <w:rtl/>
        </w:rPr>
        <w:t>نهاية السول</w:t>
      </w:r>
      <w:r w:rsidRPr="00EF51D6">
        <w:rPr>
          <w:rFonts w:ascii="Simplified Arabic" w:hAnsi="Simplified Arabic" w:cs="Simplified Arabic"/>
          <w:sz w:val="24"/>
          <w:szCs w:val="24"/>
          <w:rtl/>
        </w:rPr>
        <w:t>، شرح منهاج الوصول في علم الأصول، بيروت، دار الكتب العلمية 1984، ج 1، ص 429.</w:t>
      </w:r>
    </w:p>
  </w:footnote>
  <w:footnote w:id="20">
    <w:p w:rsidR="004F75E3" w:rsidRPr="00EF51D6" w:rsidRDefault="004F75E3" w:rsidP="005166BB">
      <w:pPr>
        <w:pStyle w:val="Notedebasdepage"/>
        <w:bidi/>
        <w:jc w:val="both"/>
        <w:rPr>
          <w:rFonts w:ascii="Simplified Arabic" w:hAnsi="Simplified Arabic" w:cs="Simplified Arabic"/>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في أصول الحوار وتجديد الكلام</w:t>
      </w:r>
      <w:r w:rsidRPr="00EF51D6">
        <w:rPr>
          <w:rFonts w:ascii="Simplified Arabic" w:hAnsi="Simplified Arabic" w:cs="Simplified Arabic"/>
          <w:sz w:val="24"/>
          <w:szCs w:val="24"/>
          <w:rtl/>
        </w:rPr>
        <w:t>، مرجع سابق، ص 50.</w:t>
      </w:r>
    </w:p>
  </w:footnote>
  <w:footnote w:id="21">
    <w:p w:rsidR="004F75E3" w:rsidRPr="005166BB" w:rsidRDefault="004F75E3" w:rsidP="005166BB">
      <w:pPr>
        <w:pStyle w:val="Notedebasdepage"/>
        <w:bidi/>
        <w:jc w:val="both"/>
        <w:rPr>
          <w:rFonts w:asciiTheme="majorBidi" w:hAnsiTheme="majorBidi" w:cstheme="majorBidi"/>
          <w:sz w:val="24"/>
          <w:szCs w:val="24"/>
          <w:rtl/>
          <w:lang w:bidi="ar-DZ"/>
        </w:rPr>
      </w:pPr>
      <w:r w:rsidRPr="005166BB">
        <w:rPr>
          <w:rStyle w:val="Appelnotedebasdep"/>
          <w:rFonts w:asciiTheme="majorBidi" w:hAnsiTheme="majorBidi" w:cstheme="majorBidi"/>
          <w:sz w:val="24"/>
          <w:szCs w:val="24"/>
        </w:rPr>
        <w:footnoteRef/>
      </w:r>
      <w:r w:rsidRPr="005166BB">
        <w:rPr>
          <w:rFonts w:asciiTheme="majorBidi" w:hAnsiTheme="majorBidi" w:cstheme="majorBidi"/>
          <w:b/>
          <w:bCs/>
          <w:sz w:val="24"/>
          <w:szCs w:val="24"/>
          <w:rtl/>
        </w:rPr>
        <w:t>الحق العربي في الاختلاف الفلسفي</w:t>
      </w:r>
      <w:r w:rsidRPr="005166BB">
        <w:rPr>
          <w:rFonts w:asciiTheme="majorBidi" w:hAnsiTheme="majorBidi" w:cstheme="majorBidi"/>
          <w:sz w:val="24"/>
          <w:szCs w:val="24"/>
          <w:rtl/>
        </w:rPr>
        <w:t>، مرجع سابق، ص 131.</w:t>
      </w:r>
    </w:p>
  </w:footnote>
  <w:footnote w:id="22">
    <w:p w:rsidR="004F75E3" w:rsidRPr="005166BB" w:rsidRDefault="004F75E3" w:rsidP="005166BB">
      <w:pPr>
        <w:pStyle w:val="Notedebasdepage"/>
        <w:jc w:val="both"/>
        <w:rPr>
          <w:rFonts w:asciiTheme="majorBidi" w:hAnsiTheme="majorBidi" w:cstheme="majorBidi"/>
          <w:sz w:val="24"/>
          <w:szCs w:val="24"/>
          <w:rtl/>
          <w:lang w:bidi="ar-DZ"/>
        </w:rPr>
      </w:pPr>
      <w:r w:rsidRPr="005166BB">
        <w:rPr>
          <w:rStyle w:val="Appelnotedebasdep"/>
          <w:rFonts w:asciiTheme="majorBidi" w:hAnsiTheme="majorBidi" w:cstheme="majorBidi"/>
          <w:sz w:val="24"/>
          <w:szCs w:val="24"/>
        </w:rPr>
        <w:footnoteRef/>
      </w:r>
      <w:r w:rsidRPr="005166BB">
        <w:rPr>
          <w:rFonts w:asciiTheme="majorBidi" w:hAnsiTheme="majorBidi" w:cstheme="majorBidi"/>
          <w:sz w:val="24"/>
          <w:szCs w:val="24"/>
          <w:lang w:bidi="ar-DZ"/>
        </w:rPr>
        <w:t xml:space="preserve">Michel Meyer, </w:t>
      </w:r>
      <w:r w:rsidRPr="005166BB">
        <w:rPr>
          <w:rFonts w:asciiTheme="majorBidi" w:hAnsiTheme="majorBidi" w:cstheme="majorBidi"/>
          <w:b/>
          <w:bCs/>
          <w:sz w:val="24"/>
          <w:szCs w:val="24"/>
          <w:lang w:bidi="ar-DZ"/>
        </w:rPr>
        <w:t xml:space="preserve">Questions de </w:t>
      </w:r>
      <w:r w:rsidR="00EF51D6" w:rsidRPr="005166BB">
        <w:rPr>
          <w:rFonts w:asciiTheme="majorBidi" w:hAnsiTheme="majorBidi" w:cstheme="majorBidi"/>
          <w:b/>
          <w:bCs/>
          <w:sz w:val="24"/>
          <w:szCs w:val="24"/>
          <w:lang w:bidi="ar-DZ"/>
        </w:rPr>
        <w:t>Rhétorique</w:t>
      </w:r>
      <w:r w:rsidRPr="005166BB">
        <w:rPr>
          <w:rFonts w:asciiTheme="majorBidi" w:hAnsiTheme="majorBidi" w:cstheme="majorBidi"/>
          <w:sz w:val="24"/>
          <w:szCs w:val="24"/>
          <w:lang w:bidi="ar-DZ"/>
        </w:rPr>
        <w:t>, p75.</w:t>
      </w:r>
    </w:p>
  </w:footnote>
  <w:footnote w:id="23">
    <w:p w:rsidR="004F75E3" w:rsidRPr="005166BB" w:rsidRDefault="004F75E3" w:rsidP="005166BB">
      <w:pPr>
        <w:pStyle w:val="Notedebasdepage"/>
        <w:jc w:val="both"/>
        <w:rPr>
          <w:rFonts w:asciiTheme="majorBidi" w:hAnsiTheme="majorBidi" w:cstheme="majorBidi"/>
          <w:sz w:val="24"/>
          <w:szCs w:val="24"/>
          <w:rtl/>
          <w:lang w:bidi="ar-DZ"/>
        </w:rPr>
      </w:pPr>
      <w:r w:rsidRPr="005166BB">
        <w:rPr>
          <w:rStyle w:val="Appelnotedebasdep"/>
          <w:rFonts w:asciiTheme="majorBidi" w:hAnsiTheme="majorBidi" w:cstheme="majorBidi"/>
          <w:sz w:val="24"/>
          <w:szCs w:val="24"/>
        </w:rPr>
        <w:footnoteRef/>
      </w:r>
      <w:r w:rsidRPr="005166BB">
        <w:rPr>
          <w:rFonts w:asciiTheme="majorBidi" w:hAnsiTheme="majorBidi" w:cstheme="majorBidi"/>
          <w:sz w:val="24"/>
          <w:szCs w:val="24"/>
          <w:lang w:bidi="ar-DZ"/>
        </w:rPr>
        <w:t xml:space="preserve"> François Chatelet, </w:t>
      </w:r>
      <w:r w:rsidRPr="005166BB">
        <w:rPr>
          <w:rFonts w:asciiTheme="majorBidi" w:hAnsiTheme="majorBidi" w:cstheme="majorBidi"/>
          <w:b/>
          <w:bCs/>
          <w:sz w:val="24"/>
          <w:szCs w:val="24"/>
          <w:lang w:bidi="ar-DZ"/>
        </w:rPr>
        <w:t>Politique de la philosophie</w:t>
      </w:r>
      <w:r w:rsidRPr="005166BB">
        <w:rPr>
          <w:rFonts w:asciiTheme="majorBidi" w:hAnsiTheme="majorBidi" w:cstheme="majorBidi"/>
          <w:sz w:val="24"/>
          <w:szCs w:val="24"/>
          <w:lang w:bidi="ar-DZ"/>
        </w:rPr>
        <w:t>, p34, op. Cit, 1993.</w:t>
      </w:r>
    </w:p>
  </w:footnote>
  <w:footnote w:id="24">
    <w:p w:rsidR="004F75E3" w:rsidRPr="005166BB" w:rsidRDefault="004F75E3" w:rsidP="005166BB">
      <w:pPr>
        <w:pStyle w:val="Notedebasdepage"/>
        <w:bidi/>
        <w:jc w:val="both"/>
        <w:rPr>
          <w:rFonts w:asciiTheme="majorBidi" w:hAnsiTheme="majorBidi" w:cstheme="majorBidi"/>
          <w:sz w:val="24"/>
          <w:szCs w:val="24"/>
          <w:rtl/>
          <w:lang w:bidi="ar-DZ"/>
        </w:rPr>
      </w:pPr>
      <w:r w:rsidRPr="005166BB">
        <w:rPr>
          <w:rStyle w:val="Appelnotedebasdep"/>
          <w:rFonts w:asciiTheme="majorBidi" w:hAnsiTheme="majorBidi" w:cstheme="majorBidi"/>
          <w:sz w:val="24"/>
          <w:szCs w:val="24"/>
        </w:rPr>
        <w:footnoteRef/>
      </w:r>
      <w:r w:rsidRPr="005166BB">
        <w:rPr>
          <w:rFonts w:asciiTheme="majorBidi" w:hAnsiTheme="majorBidi" w:cstheme="majorBidi"/>
          <w:sz w:val="24"/>
          <w:szCs w:val="24"/>
          <w:rtl/>
        </w:rPr>
        <w:t xml:space="preserve">ابن تيمية، </w:t>
      </w:r>
      <w:r w:rsidRPr="005166BB">
        <w:rPr>
          <w:rFonts w:asciiTheme="majorBidi" w:hAnsiTheme="majorBidi" w:cstheme="majorBidi"/>
          <w:b/>
          <w:bCs/>
          <w:sz w:val="24"/>
          <w:szCs w:val="24"/>
          <w:rtl/>
        </w:rPr>
        <w:t>الرد على المنطقيين</w:t>
      </w:r>
      <w:r w:rsidRPr="005166BB">
        <w:rPr>
          <w:rFonts w:asciiTheme="majorBidi" w:hAnsiTheme="majorBidi" w:cstheme="majorBidi"/>
          <w:sz w:val="24"/>
          <w:szCs w:val="24"/>
          <w:rtl/>
        </w:rPr>
        <w:t>، بيروت، دار الفكر اللبناني، ط 1، 1993، ج 2، ص 80</w:t>
      </w:r>
    </w:p>
  </w:footnote>
  <w:footnote w:id="25">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تمام حسان، </w:t>
      </w:r>
      <w:r w:rsidRPr="00EF51D6">
        <w:rPr>
          <w:rFonts w:ascii="Simplified Arabic" w:hAnsi="Simplified Arabic" w:cs="Simplified Arabic"/>
          <w:b/>
          <w:bCs/>
          <w:sz w:val="24"/>
          <w:szCs w:val="24"/>
          <w:rtl/>
        </w:rPr>
        <w:t>اللغة بين المعيارية والوصفية</w:t>
      </w:r>
      <w:r w:rsidRPr="00EF51D6">
        <w:rPr>
          <w:rFonts w:ascii="Simplified Arabic" w:hAnsi="Simplified Arabic" w:cs="Simplified Arabic"/>
          <w:sz w:val="24"/>
          <w:szCs w:val="24"/>
          <w:rtl/>
        </w:rPr>
        <w:t>، دار البيضاء، دار الثقافة 1992، ص 5.</w:t>
      </w:r>
    </w:p>
  </w:footnote>
  <w:footnote w:id="26">
    <w:p w:rsidR="004F75E3" w:rsidRPr="00EF51D6" w:rsidRDefault="004F75E3" w:rsidP="005166BB">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حسان الباهي، </w:t>
      </w:r>
      <w:r w:rsidRPr="00EF51D6">
        <w:rPr>
          <w:rFonts w:ascii="Simplified Arabic" w:hAnsi="Simplified Arabic" w:cs="Simplified Arabic"/>
          <w:b/>
          <w:bCs/>
          <w:sz w:val="24"/>
          <w:szCs w:val="24"/>
          <w:rtl/>
        </w:rPr>
        <w:t>اللغة والمنطق</w:t>
      </w:r>
      <w:r w:rsidRPr="00EF51D6">
        <w:rPr>
          <w:rFonts w:ascii="Simplified Arabic" w:hAnsi="Simplified Arabic" w:cs="Simplified Arabic"/>
          <w:sz w:val="24"/>
          <w:szCs w:val="24"/>
          <w:rtl/>
        </w:rPr>
        <w:t>، بحث في المفارقات، دار البيضاء، بيروت، المركز الثقافي العربي، ط 1، 2000، ص 135 وص 137</w:t>
      </w:r>
    </w:p>
  </w:footnote>
  <w:footnote w:id="27">
    <w:p w:rsidR="004F75E3" w:rsidRPr="00EF51D6" w:rsidRDefault="004F75E3" w:rsidP="005166BB">
      <w:pPr>
        <w:pStyle w:val="Notedebasdepage"/>
        <w:bidi/>
        <w:jc w:val="both"/>
        <w:rPr>
          <w:rFonts w:ascii="Simplified Arabic" w:hAnsi="Simplified Arabic" w:cs="Simplified Arabic"/>
          <w:sz w:val="24"/>
          <w:szCs w:val="24"/>
          <w:rtl/>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حسان الباهي، </w:t>
      </w:r>
      <w:r w:rsidRPr="00EF51D6">
        <w:rPr>
          <w:rFonts w:ascii="Simplified Arabic" w:hAnsi="Simplified Arabic" w:cs="Simplified Arabic"/>
          <w:b/>
          <w:bCs/>
          <w:sz w:val="24"/>
          <w:szCs w:val="24"/>
          <w:rtl/>
        </w:rPr>
        <w:t>اللغة والمنطق</w:t>
      </w:r>
      <w:r w:rsidRPr="00EF51D6">
        <w:rPr>
          <w:rFonts w:ascii="Simplified Arabic" w:hAnsi="Simplified Arabic" w:cs="Simplified Arabic"/>
          <w:sz w:val="24"/>
          <w:szCs w:val="24"/>
          <w:rtl/>
        </w:rPr>
        <w:t>، المرجع نفسه، ص 133، وانظر كذلك:</w:t>
      </w:r>
    </w:p>
    <w:p w:rsidR="004F75E3" w:rsidRPr="005166BB" w:rsidRDefault="004F75E3" w:rsidP="005166BB">
      <w:pPr>
        <w:pStyle w:val="Notedebasdepage"/>
        <w:jc w:val="both"/>
        <w:rPr>
          <w:rFonts w:asciiTheme="majorBidi" w:hAnsiTheme="majorBidi" w:cstheme="majorBidi"/>
          <w:sz w:val="24"/>
          <w:szCs w:val="24"/>
        </w:rPr>
      </w:pPr>
      <w:r w:rsidRPr="005166BB">
        <w:rPr>
          <w:rFonts w:asciiTheme="majorBidi" w:hAnsiTheme="majorBidi" w:cstheme="majorBidi"/>
          <w:sz w:val="24"/>
          <w:szCs w:val="24"/>
        </w:rPr>
        <w:t xml:space="preserve">Jacques Moeschler et Antoine Auchlin, </w:t>
      </w:r>
      <w:r w:rsidRPr="005166BB">
        <w:rPr>
          <w:rFonts w:asciiTheme="majorBidi" w:hAnsiTheme="majorBidi" w:cstheme="majorBidi"/>
          <w:b/>
          <w:bCs/>
          <w:sz w:val="24"/>
          <w:szCs w:val="24"/>
        </w:rPr>
        <w:t>Introduction á la linguistique contemporaine</w:t>
      </w:r>
      <w:r w:rsidRPr="005166BB">
        <w:rPr>
          <w:rFonts w:asciiTheme="majorBidi" w:hAnsiTheme="majorBidi" w:cstheme="majorBidi"/>
          <w:sz w:val="24"/>
          <w:szCs w:val="24"/>
        </w:rPr>
        <w:t>, éd, Arman Colin, Paris 2000, P33.</w:t>
      </w:r>
    </w:p>
    <w:p w:rsidR="004F75E3" w:rsidRPr="00DE4502" w:rsidRDefault="004F75E3" w:rsidP="00ED1A42">
      <w:pPr>
        <w:pStyle w:val="Notedebasdepage"/>
        <w:rPr>
          <w:rtl/>
          <w:lang w:bidi="ar-DZ"/>
        </w:rPr>
      </w:pPr>
    </w:p>
  </w:footnote>
  <w:footnote w:id="28">
    <w:p w:rsidR="004F75E3" w:rsidRPr="00EF51D6" w:rsidRDefault="004F75E3" w:rsidP="00F01ADF">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حسان الباهي، </w:t>
      </w:r>
      <w:r w:rsidRPr="00EF51D6">
        <w:rPr>
          <w:rFonts w:ascii="Simplified Arabic" w:hAnsi="Simplified Arabic" w:cs="Simplified Arabic"/>
          <w:b/>
          <w:bCs/>
          <w:sz w:val="24"/>
          <w:szCs w:val="24"/>
          <w:rtl/>
        </w:rPr>
        <w:t>اللغة والمنطق،</w:t>
      </w:r>
      <w:r w:rsidRPr="00EF51D6">
        <w:rPr>
          <w:rFonts w:ascii="Simplified Arabic" w:hAnsi="Simplified Arabic" w:cs="Simplified Arabic"/>
          <w:sz w:val="24"/>
          <w:szCs w:val="24"/>
          <w:rtl/>
        </w:rPr>
        <w:t xml:space="preserve"> مرجع سابق، ص 73.</w:t>
      </w:r>
    </w:p>
  </w:footnote>
  <w:footnote w:id="29">
    <w:p w:rsidR="004F75E3" w:rsidRPr="00EF51D6" w:rsidRDefault="004F75E3" w:rsidP="00F01ADF">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حسان الباهي، </w:t>
      </w:r>
      <w:r w:rsidRPr="00EF51D6">
        <w:rPr>
          <w:rFonts w:ascii="Simplified Arabic" w:hAnsi="Simplified Arabic" w:cs="Simplified Arabic"/>
          <w:b/>
          <w:bCs/>
          <w:sz w:val="24"/>
          <w:szCs w:val="24"/>
          <w:rtl/>
        </w:rPr>
        <w:t>اللغة والمنطق</w:t>
      </w:r>
      <w:r w:rsidRPr="00EF51D6">
        <w:rPr>
          <w:rFonts w:ascii="Simplified Arabic" w:hAnsi="Simplified Arabic" w:cs="Simplified Arabic"/>
          <w:sz w:val="24"/>
          <w:szCs w:val="24"/>
          <w:rtl/>
        </w:rPr>
        <w:t>، مرجع سابق، ص 74.</w:t>
      </w:r>
    </w:p>
  </w:footnote>
  <w:footnote w:id="30">
    <w:p w:rsidR="004F75E3" w:rsidRPr="00EF51D6" w:rsidRDefault="004F75E3" w:rsidP="00F01ADF">
      <w:pPr>
        <w:pStyle w:val="Notedebasdepage"/>
        <w:bidi/>
        <w:jc w:val="both"/>
        <w:rPr>
          <w:rFonts w:ascii="Simplified Arabic" w:hAnsi="Simplified Arabic" w:cs="Simplified Arabic"/>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انظر محمد النويري، </w:t>
      </w:r>
      <w:r w:rsidRPr="00EF51D6">
        <w:rPr>
          <w:rFonts w:ascii="Simplified Arabic" w:hAnsi="Simplified Arabic" w:cs="Simplified Arabic"/>
          <w:b/>
          <w:bCs/>
          <w:sz w:val="24"/>
          <w:szCs w:val="24"/>
          <w:rtl/>
        </w:rPr>
        <w:t>علم الكلام والنظرية البلاغية عند العرب</w:t>
      </w:r>
      <w:r w:rsidRPr="00EF51D6">
        <w:rPr>
          <w:rFonts w:ascii="Simplified Arabic" w:hAnsi="Simplified Arabic" w:cs="Simplified Arabic"/>
          <w:sz w:val="24"/>
          <w:szCs w:val="24"/>
          <w:rtl/>
        </w:rPr>
        <w:t>، تونس، كلية العلوم الإنسانية والاجتماعية، ط 1، 2001، ص 127.</w:t>
      </w:r>
    </w:p>
  </w:footnote>
  <w:footnote w:id="31">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الخطيب القزويني، </w:t>
      </w:r>
      <w:r w:rsidRPr="00EF51D6">
        <w:rPr>
          <w:rFonts w:ascii="Simplified Arabic" w:hAnsi="Simplified Arabic" w:cs="Simplified Arabic"/>
          <w:b/>
          <w:bCs/>
          <w:sz w:val="24"/>
          <w:szCs w:val="24"/>
          <w:rtl/>
        </w:rPr>
        <w:t>الإيضاح في علوم البلاغة</w:t>
      </w:r>
      <w:r w:rsidRPr="00EF51D6">
        <w:rPr>
          <w:rFonts w:ascii="Simplified Arabic" w:hAnsi="Simplified Arabic" w:cs="Simplified Arabic"/>
          <w:sz w:val="24"/>
          <w:szCs w:val="24"/>
          <w:rtl/>
        </w:rPr>
        <w:t>، بيروت، دار الكتب العلمية، ط 1، 1985، ص 215.</w:t>
      </w:r>
    </w:p>
  </w:footnote>
  <w:footnote w:id="32">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انظر أخوان الصفاء، </w:t>
      </w:r>
      <w:r w:rsidRPr="00EF51D6">
        <w:rPr>
          <w:rFonts w:ascii="Simplified Arabic" w:hAnsi="Simplified Arabic" w:cs="Simplified Arabic"/>
          <w:b/>
          <w:bCs/>
          <w:sz w:val="24"/>
          <w:szCs w:val="24"/>
          <w:rtl/>
        </w:rPr>
        <w:t>رسائل أخوان الصفا وخلاء الوفاء</w:t>
      </w:r>
      <w:r w:rsidRPr="00EF51D6">
        <w:rPr>
          <w:rFonts w:ascii="Simplified Arabic" w:hAnsi="Simplified Arabic" w:cs="Simplified Arabic"/>
          <w:sz w:val="24"/>
          <w:szCs w:val="24"/>
          <w:rtl/>
        </w:rPr>
        <w:t>، تحقيق خير الدين الزركلي، مصر، المطبعة العربية، 1928، ج 1، ص 316</w:t>
      </w:r>
    </w:p>
  </w:footnote>
  <w:footnote w:id="33">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أبو عثمان الجاحظ، </w:t>
      </w:r>
      <w:r w:rsidRPr="00EF51D6">
        <w:rPr>
          <w:rFonts w:ascii="Simplified Arabic" w:hAnsi="Simplified Arabic" w:cs="Simplified Arabic"/>
          <w:b/>
          <w:bCs/>
          <w:sz w:val="24"/>
          <w:szCs w:val="24"/>
          <w:rtl/>
        </w:rPr>
        <w:t>البيان والتبيين</w:t>
      </w:r>
      <w:r w:rsidRPr="00EF51D6">
        <w:rPr>
          <w:rFonts w:ascii="Simplified Arabic" w:hAnsi="Simplified Arabic" w:cs="Simplified Arabic"/>
          <w:sz w:val="24"/>
          <w:szCs w:val="24"/>
          <w:rtl/>
        </w:rPr>
        <w:t>، تحقيق عبدالسلام هارون، القاهرة، دار الخانجي، دون تاريخ، ج 1، ص76.</w:t>
      </w:r>
    </w:p>
  </w:footnote>
  <w:footnote w:id="34">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المرجع نفسه</w:t>
      </w:r>
      <w:r w:rsidRPr="00EF51D6">
        <w:rPr>
          <w:rFonts w:ascii="Simplified Arabic" w:hAnsi="Simplified Arabic" w:cs="Simplified Arabic"/>
          <w:sz w:val="24"/>
          <w:szCs w:val="24"/>
          <w:rtl/>
        </w:rPr>
        <w:t>، ج 1، ص 76.</w:t>
      </w:r>
    </w:p>
  </w:footnote>
  <w:footnote w:id="35">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انظر القاضي عبدالجبار، </w:t>
      </w:r>
      <w:r w:rsidRPr="00EF51D6">
        <w:rPr>
          <w:rFonts w:ascii="Simplified Arabic" w:hAnsi="Simplified Arabic" w:cs="Simplified Arabic"/>
          <w:b/>
          <w:bCs/>
          <w:sz w:val="24"/>
          <w:szCs w:val="24"/>
          <w:rtl/>
        </w:rPr>
        <w:t>المغني</w:t>
      </w:r>
      <w:r w:rsidRPr="00EF51D6">
        <w:rPr>
          <w:rFonts w:ascii="Simplified Arabic" w:hAnsi="Simplified Arabic" w:cs="Simplified Arabic"/>
          <w:sz w:val="24"/>
          <w:szCs w:val="24"/>
          <w:rtl/>
        </w:rPr>
        <w:t>، تحقيق محمود محمد الخضيري، القاهرة، 1965، ج 5، ص 16.</w:t>
      </w:r>
    </w:p>
  </w:footnote>
  <w:footnote w:id="36">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كشاف مصطلحات الفنون والعلوم</w:t>
      </w:r>
      <w:r w:rsidRPr="00EF51D6">
        <w:rPr>
          <w:rFonts w:ascii="Simplified Arabic" w:hAnsi="Simplified Arabic" w:cs="Simplified Arabic"/>
          <w:sz w:val="24"/>
          <w:szCs w:val="24"/>
          <w:rtl/>
        </w:rPr>
        <w:t>، مرجع سابق، ج 2، ص 116.</w:t>
      </w:r>
    </w:p>
  </w:footnote>
  <w:footnote w:id="37">
    <w:p w:rsidR="004F75E3" w:rsidRPr="00EF51D6" w:rsidRDefault="004F75E3" w:rsidP="005617AD">
      <w:pPr>
        <w:pStyle w:val="Notedebasdepage"/>
        <w:bidi/>
        <w:jc w:val="both"/>
        <w:rPr>
          <w:rFonts w:ascii="Simplified Arabic" w:hAnsi="Simplified Arabic" w:cs="Simplified Arabic"/>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sz w:val="24"/>
          <w:szCs w:val="24"/>
          <w:rtl/>
        </w:rPr>
        <w:t xml:space="preserve">القاضي عبدالنبي الأحمد نكَري، </w:t>
      </w:r>
      <w:r w:rsidRPr="00EF51D6">
        <w:rPr>
          <w:rFonts w:ascii="Simplified Arabic" w:hAnsi="Simplified Arabic" w:cs="Simplified Arabic"/>
          <w:b/>
          <w:bCs/>
          <w:sz w:val="24"/>
          <w:szCs w:val="24"/>
          <w:rtl/>
        </w:rPr>
        <w:t>مصطلحات جامع العلوم</w:t>
      </w:r>
      <w:r w:rsidRPr="00EF51D6">
        <w:rPr>
          <w:rFonts w:ascii="Simplified Arabic" w:hAnsi="Simplified Arabic" w:cs="Simplified Arabic"/>
          <w:sz w:val="24"/>
          <w:szCs w:val="24"/>
          <w:rtl/>
        </w:rPr>
        <w:t>–دستور العلماء- إشراف رفيق العجم، تحقيق علي دحروج، بيروت، مكتبة لبنان ناشرون، ط 1، 1997، ص 574. وانظر التهانوي، مرجع سابق، ج 2، ص1162.</w:t>
      </w:r>
    </w:p>
  </w:footnote>
  <w:footnote w:id="38">
    <w:p w:rsidR="004F75E3" w:rsidRPr="005617AD" w:rsidRDefault="004F75E3" w:rsidP="005617AD">
      <w:pPr>
        <w:pStyle w:val="Notedebasdepage"/>
        <w:bidi/>
        <w:jc w:val="both"/>
        <w:rPr>
          <w:sz w:val="24"/>
          <w:szCs w:val="24"/>
          <w:rtl/>
          <w:lang w:bidi="ar-DZ"/>
        </w:rPr>
      </w:pPr>
      <w:r w:rsidRPr="00EF51D6">
        <w:rPr>
          <w:rStyle w:val="Appelnotedebasdep"/>
          <w:rFonts w:ascii="Simplified Arabic" w:hAnsi="Simplified Arabic" w:cs="Simplified Arabic"/>
          <w:sz w:val="24"/>
          <w:szCs w:val="24"/>
        </w:rPr>
        <w:footnoteRef/>
      </w:r>
      <w:r w:rsidRPr="00EF51D6">
        <w:rPr>
          <w:rFonts w:ascii="Simplified Arabic" w:hAnsi="Simplified Arabic" w:cs="Simplified Arabic"/>
          <w:b/>
          <w:bCs/>
          <w:sz w:val="24"/>
          <w:szCs w:val="24"/>
          <w:rtl/>
        </w:rPr>
        <w:t>فقه الفلسفة</w:t>
      </w:r>
      <w:r w:rsidRPr="00EF51D6">
        <w:rPr>
          <w:rFonts w:ascii="Simplified Arabic" w:hAnsi="Simplified Arabic" w:cs="Simplified Arabic"/>
          <w:sz w:val="24"/>
          <w:szCs w:val="24"/>
          <w:rtl/>
        </w:rPr>
        <w:t>، مرجع سابق، ج 2، ص 67.</w:t>
      </w:r>
    </w:p>
  </w:footnote>
  <w:footnote w:id="39">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sz w:val="24"/>
          <w:szCs w:val="24"/>
          <w:rtl/>
        </w:rPr>
        <w:t>انظر</w:t>
      </w:r>
      <w:r w:rsidRPr="005617AD">
        <w:rPr>
          <w:rFonts w:hint="cs"/>
          <w:b/>
          <w:bCs/>
          <w:sz w:val="24"/>
          <w:szCs w:val="24"/>
          <w:rtl/>
        </w:rPr>
        <w:t xml:space="preserve"> كشاف مصطلحات الفنون والعلوم</w:t>
      </w:r>
      <w:r w:rsidRPr="005617AD">
        <w:rPr>
          <w:rFonts w:hint="cs"/>
          <w:sz w:val="24"/>
          <w:szCs w:val="24"/>
          <w:rtl/>
        </w:rPr>
        <w:t>، مرجع سابق، ج 2، ص 200.</w:t>
      </w:r>
    </w:p>
  </w:footnote>
  <w:footnote w:id="40">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b/>
          <w:bCs/>
          <w:sz w:val="24"/>
          <w:szCs w:val="24"/>
          <w:rtl/>
        </w:rPr>
        <w:t>المرجع نفسه</w:t>
      </w:r>
      <w:r w:rsidRPr="005617AD">
        <w:rPr>
          <w:rFonts w:hint="cs"/>
          <w:sz w:val="24"/>
          <w:szCs w:val="24"/>
          <w:rtl/>
        </w:rPr>
        <w:t>، ج 2، ص 67.</w:t>
      </w:r>
    </w:p>
  </w:footnote>
  <w:footnote w:id="41">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sz w:val="24"/>
          <w:szCs w:val="24"/>
          <w:rtl/>
        </w:rPr>
        <w:t xml:space="preserve">الشريف الجرجاني، </w:t>
      </w:r>
      <w:r w:rsidRPr="005617AD">
        <w:rPr>
          <w:rFonts w:hint="cs"/>
          <w:b/>
          <w:bCs/>
          <w:sz w:val="24"/>
          <w:szCs w:val="24"/>
          <w:rtl/>
        </w:rPr>
        <w:t>كتاب التعريفات</w:t>
      </w:r>
      <w:r w:rsidRPr="005617AD">
        <w:rPr>
          <w:rFonts w:hint="cs"/>
          <w:sz w:val="24"/>
          <w:szCs w:val="24"/>
          <w:rtl/>
        </w:rPr>
        <w:t>، ص 27.</w:t>
      </w:r>
    </w:p>
  </w:footnote>
  <w:footnote w:id="42">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b/>
          <w:bCs/>
          <w:sz w:val="24"/>
          <w:szCs w:val="24"/>
          <w:rtl/>
        </w:rPr>
        <w:t xml:space="preserve">سورة </w:t>
      </w:r>
      <w:r w:rsidRPr="005617AD">
        <w:rPr>
          <w:b/>
          <w:bCs/>
          <w:sz w:val="24"/>
          <w:szCs w:val="24"/>
          <w:rtl/>
        </w:rPr>
        <w:t>البقرة</w:t>
      </w:r>
      <w:r w:rsidRPr="005617AD">
        <w:rPr>
          <w:rFonts w:hint="cs"/>
          <w:sz w:val="24"/>
          <w:szCs w:val="24"/>
          <w:rtl/>
        </w:rPr>
        <w:t>،</w:t>
      </w:r>
      <w:r w:rsidRPr="005617AD">
        <w:rPr>
          <w:sz w:val="24"/>
          <w:szCs w:val="24"/>
          <w:rtl/>
        </w:rPr>
        <w:t xml:space="preserve"> الآية233</w:t>
      </w:r>
      <w:r w:rsidRPr="005617AD">
        <w:rPr>
          <w:rFonts w:hint="cs"/>
          <w:sz w:val="24"/>
          <w:szCs w:val="24"/>
          <w:rtl/>
        </w:rPr>
        <w:t>.</w:t>
      </w:r>
    </w:p>
  </w:footnote>
  <w:footnote w:id="43">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sz w:val="24"/>
          <w:szCs w:val="24"/>
          <w:rtl/>
        </w:rPr>
        <w:t xml:space="preserve">النكري، </w:t>
      </w:r>
      <w:r w:rsidRPr="005617AD">
        <w:rPr>
          <w:rFonts w:hint="cs"/>
          <w:b/>
          <w:bCs/>
          <w:sz w:val="24"/>
          <w:szCs w:val="24"/>
          <w:rtl/>
        </w:rPr>
        <w:t>مصطلحات جامع العلوم</w:t>
      </w:r>
      <w:r w:rsidRPr="005617AD">
        <w:rPr>
          <w:rFonts w:hint="cs"/>
          <w:sz w:val="24"/>
          <w:szCs w:val="24"/>
          <w:rtl/>
        </w:rPr>
        <w:t>، مرجع سابق، ص 116.</w:t>
      </w:r>
    </w:p>
  </w:footnote>
  <w:footnote w:id="44">
    <w:p w:rsidR="004F75E3" w:rsidRPr="005617AD" w:rsidRDefault="004F75E3" w:rsidP="005617AD">
      <w:pPr>
        <w:pStyle w:val="Notedebasdepage"/>
        <w:bidi/>
        <w:jc w:val="both"/>
        <w:rPr>
          <w:sz w:val="24"/>
          <w:szCs w:val="24"/>
          <w:rtl/>
          <w:lang w:bidi="ar-DZ"/>
        </w:rPr>
      </w:pPr>
      <w:r w:rsidRPr="005617AD">
        <w:rPr>
          <w:rStyle w:val="Appelnotedebasdep"/>
          <w:sz w:val="24"/>
          <w:szCs w:val="24"/>
        </w:rPr>
        <w:footnoteRef/>
      </w:r>
      <w:r w:rsidRPr="005617AD">
        <w:rPr>
          <w:rFonts w:hint="cs"/>
          <w:sz w:val="24"/>
          <w:szCs w:val="24"/>
          <w:rtl/>
        </w:rPr>
        <w:t xml:space="preserve">الراغب، </w:t>
      </w:r>
      <w:r w:rsidRPr="005617AD">
        <w:rPr>
          <w:rFonts w:hint="cs"/>
          <w:b/>
          <w:bCs/>
          <w:sz w:val="24"/>
          <w:szCs w:val="24"/>
          <w:rtl/>
        </w:rPr>
        <w:t>سفينة الراغب</w:t>
      </w:r>
      <w:r w:rsidRPr="005617AD">
        <w:rPr>
          <w:rFonts w:hint="cs"/>
          <w:sz w:val="24"/>
          <w:szCs w:val="24"/>
          <w:rtl/>
        </w:rPr>
        <w:t>، إشراف رفيق العجم، بيروت، مكتبة لبنان ناشرون، ط 1، 2000، ص 578.</w:t>
      </w:r>
    </w:p>
  </w:footnote>
  <w:footnote w:id="45">
    <w:p w:rsidR="004F75E3" w:rsidRPr="00A2389D" w:rsidRDefault="004F75E3" w:rsidP="005617AD">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 xml:space="preserve">القزويني، </w:t>
      </w:r>
      <w:r w:rsidRPr="00A2389D">
        <w:rPr>
          <w:rFonts w:ascii="Simplified Arabic" w:hAnsi="Simplified Arabic" w:cs="Simplified Arabic"/>
          <w:b/>
          <w:bCs/>
          <w:sz w:val="24"/>
          <w:szCs w:val="24"/>
          <w:rtl/>
        </w:rPr>
        <w:t>الإيضاح في علوم البلاغة</w:t>
      </w:r>
      <w:r w:rsidRPr="00A2389D">
        <w:rPr>
          <w:rFonts w:ascii="Simplified Arabic" w:hAnsi="Simplified Arabic" w:cs="Simplified Arabic"/>
          <w:sz w:val="24"/>
          <w:szCs w:val="24"/>
          <w:rtl/>
        </w:rPr>
        <w:t xml:space="preserve">، مرجع سابق، ص 215، والأمدي، </w:t>
      </w:r>
      <w:r w:rsidRPr="00A2389D">
        <w:rPr>
          <w:rFonts w:ascii="Simplified Arabic" w:hAnsi="Simplified Arabic" w:cs="Simplified Arabic"/>
          <w:b/>
          <w:bCs/>
          <w:sz w:val="24"/>
          <w:szCs w:val="24"/>
          <w:rtl/>
        </w:rPr>
        <w:t>الإحكام في أصول الأحكام</w:t>
      </w:r>
      <w:r w:rsidRPr="00A2389D">
        <w:rPr>
          <w:rFonts w:ascii="Simplified Arabic" w:hAnsi="Simplified Arabic" w:cs="Simplified Arabic"/>
          <w:sz w:val="24"/>
          <w:szCs w:val="24"/>
          <w:rtl/>
        </w:rPr>
        <w:t>، مصر، دار المعارف، 1994، ج 1، ص 36.</w:t>
      </w:r>
    </w:p>
  </w:footnote>
  <w:footnote w:id="46">
    <w:p w:rsidR="004F75E3" w:rsidRPr="00A2389D" w:rsidRDefault="004F75E3" w:rsidP="005617AD">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 xml:space="preserve">عادل فاخوري، </w:t>
      </w:r>
      <w:r w:rsidRPr="00A2389D">
        <w:rPr>
          <w:rFonts w:ascii="Simplified Arabic" w:hAnsi="Simplified Arabic" w:cs="Simplified Arabic"/>
          <w:b/>
          <w:bCs/>
          <w:sz w:val="24"/>
          <w:szCs w:val="24"/>
          <w:rtl/>
        </w:rPr>
        <w:t>منطق العرب</w:t>
      </w:r>
      <w:r w:rsidRPr="00A2389D">
        <w:rPr>
          <w:rFonts w:ascii="Simplified Arabic" w:hAnsi="Simplified Arabic" w:cs="Simplified Arabic"/>
          <w:sz w:val="24"/>
          <w:szCs w:val="24"/>
          <w:rtl/>
        </w:rPr>
        <w:t>، بيروت دار الطليعة، ط 3، 1993، ص 43.</w:t>
      </w:r>
    </w:p>
  </w:footnote>
  <w:footnote w:id="47">
    <w:p w:rsidR="004F75E3" w:rsidRPr="00A2389D" w:rsidRDefault="004F75E3" w:rsidP="005617AD">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b/>
          <w:bCs/>
          <w:sz w:val="24"/>
          <w:szCs w:val="24"/>
          <w:rtl/>
        </w:rPr>
        <w:t>فقه الفلسفة</w:t>
      </w:r>
      <w:r w:rsidRPr="00A2389D">
        <w:rPr>
          <w:rFonts w:ascii="Simplified Arabic" w:hAnsi="Simplified Arabic" w:cs="Simplified Arabic"/>
          <w:sz w:val="24"/>
          <w:szCs w:val="24"/>
          <w:rtl/>
        </w:rPr>
        <w:t>، ج 2، ص 69.</w:t>
      </w:r>
    </w:p>
  </w:footnote>
  <w:footnote w:id="48">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 xml:space="preserve">انظر فخر الدين الرازي، </w:t>
      </w:r>
      <w:r w:rsidRPr="00A2389D">
        <w:rPr>
          <w:rFonts w:ascii="Simplified Arabic" w:hAnsi="Simplified Arabic" w:cs="Simplified Arabic"/>
          <w:b/>
          <w:bCs/>
          <w:sz w:val="24"/>
          <w:szCs w:val="24"/>
          <w:rtl/>
        </w:rPr>
        <w:t>أساس التقديس</w:t>
      </w:r>
      <w:r w:rsidRPr="00A2389D">
        <w:rPr>
          <w:rFonts w:ascii="Simplified Arabic" w:hAnsi="Simplified Arabic" w:cs="Simplified Arabic"/>
          <w:sz w:val="24"/>
          <w:szCs w:val="24"/>
          <w:rtl/>
        </w:rPr>
        <w:t>، مصر، مطبعة كردستان العلمية، 1328</w:t>
      </w:r>
      <w:r w:rsidRPr="00A2389D">
        <w:rPr>
          <w:rFonts w:ascii="Simplified Arabic" w:hAnsi="Simplified Arabic"/>
          <w:sz w:val="24"/>
          <w:szCs w:val="24"/>
          <w:rtl/>
        </w:rPr>
        <w:t>ﮪ</w:t>
      </w:r>
      <w:r w:rsidRPr="00A2389D">
        <w:rPr>
          <w:rFonts w:ascii="Simplified Arabic" w:hAnsi="Simplified Arabic" w:cs="Simplified Arabic"/>
          <w:sz w:val="24"/>
          <w:szCs w:val="24"/>
          <w:rtl/>
        </w:rPr>
        <w:t>، ص 218، وكذلك التهانوي</w:t>
      </w:r>
      <w:r w:rsidRPr="00A2389D">
        <w:rPr>
          <w:rFonts w:ascii="Simplified Arabic" w:hAnsi="Simplified Arabic" w:cs="Simplified Arabic"/>
          <w:b/>
          <w:bCs/>
          <w:sz w:val="24"/>
          <w:szCs w:val="24"/>
          <w:rtl/>
        </w:rPr>
        <w:t>مرجع سابق</w:t>
      </w:r>
      <w:r w:rsidRPr="00A2389D">
        <w:rPr>
          <w:rFonts w:ascii="Simplified Arabic" w:hAnsi="Simplified Arabic" w:cs="Simplified Arabic"/>
          <w:sz w:val="24"/>
          <w:szCs w:val="24"/>
          <w:rtl/>
        </w:rPr>
        <w:t>، ج 2، ص 1489.</w:t>
      </w:r>
    </w:p>
  </w:footnote>
  <w:footnote w:id="49">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انظر عبد</w:t>
      </w:r>
      <w:r w:rsidR="00A2389D" w:rsidRPr="00A2389D">
        <w:rPr>
          <w:rFonts w:ascii="Simplified Arabic" w:hAnsi="Simplified Arabic" w:cs="Simplified Arabic"/>
          <w:sz w:val="24"/>
          <w:szCs w:val="24"/>
          <w:rtl/>
        </w:rPr>
        <w:t xml:space="preserve"> </w:t>
      </w:r>
      <w:r w:rsidRPr="00A2389D">
        <w:rPr>
          <w:rFonts w:ascii="Simplified Arabic" w:hAnsi="Simplified Arabic" w:cs="Simplified Arabic"/>
          <w:sz w:val="24"/>
          <w:szCs w:val="24"/>
          <w:rtl/>
        </w:rPr>
        <w:t xml:space="preserve">النبي نكري، </w:t>
      </w:r>
      <w:r w:rsidRPr="00A2389D">
        <w:rPr>
          <w:rFonts w:ascii="Simplified Arabic" w:hAnsi="Simplified Arabic" w:cs="Simplified Arabic"/>
          <w:b/>
          <w:bCs/>
          <w:sz w:val="24"/>
          <w:szCs w:val="24"/>
          <w:rtl/>
        </w:rPr>
        <w:t>جامع العلوم</w:t>
      </w:r>
      <w:r w:rsidRPr="00A2389D">
        <w:rPr>
          <w:rFonts w:ascii="Simplified Arabic" w:hAnsi="Simplified Arabic" w:cs="Simplified Arabic"/>
          <w:sz w:val="24"/>
          <w:szCs w:val="24"/>
          <w:rtl/>
        </w:rPr>
        <w:t>، مرجع سابق، ص 810.</w:t>
      </w:r>
    </w:p>
  </w:footnote>
  <w:footnote w:id="50">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b/>
          <w:bCs/>
          <w:sz w:val="24"/>
          <w:szCs w:val="24"/>
          <w:rtl/>
        </w:rPr>
        <w:t>التهانوي</w:t>
      </w:r>
      <w:r w:rsidRPr="00A2389D">
        <w:rPr>
          <w:rFonts w:ascii="Simplified Arabic" w:hAnsi="Simplified Arabic" w:cs="Simplified Arabic"/>
          <w:sz w:val="24"/>
          <w:szCs w:val="24"/>
          <w:rtl/>
        </w:rPr>
        <w:t>، مرجع سابق، ج 2، ص 1437.</w:t>
      </w:r>
    </w:p>
  </w:footnote>
  <w:footnote w:id="51">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b/>
          <w:bCs/>
          <w:sz w:val="24"/>
          <w:szCs w:val="24"/>
          <w:rtl/>
        </w:rPr>
        <w:t>أساس التقديس</w:t>
      </w:r>
      <w:r w:rsidRPr="00A2389D">
        <w:rPr>
          <w:rFonts w:ascii="Simplified Arabic" w:hAnsi="Simplified Arabic" w:cs="Simplified Arabic"/>
          <w:sz w:val="24"/>
          <w:szCs w:val="24"/>
          <w:rtl/>
        </w:rPr>
        <w:t>، مرجع سابق، ص 216.</w:t>
      </w:r>
    </w:p>
  </w:footnote>
  <w:footnote w:id="52">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b/>
          <w:bCs/>
          <w:sz w:val="24"/>
          <w:szCs w:val="24"/>
          <w:rtl/>
        </w:rPr>
        <w:t>التهانوي</w:t>
      </w:r>
      <w:r w:rsidRPr="00A2389D">
        <w:rPr>
          <w:rFonts w:ascii="Simplified Arabic" w:hAnsi="Simplified Arabic" w:cs="Simplified Arabic"/>
          <w:sz w:val="24"/>
          <w:szCs w:val="24"/>
          <w:rtl/>
        </w:rPr>
        <w:t>، مرجع سابق، ح2، ص 1437.</w:t>
      </w:r>
    </w:p>
  </w:footnote>
  <w:footnote w:id="53">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 xml:space="preserve">عبدالنبي نكري، </w:t>
      </w:r>
      <w:r w:rsidRPr="00A2389D">
        <w:rPr>
          <w:rFonts w:ascii="Simplified Arabic" w:hAnsi="Simplified Arabic" w:cs="Simplified Arabic"/>
          <w:b/>
          <w:bCs/>
          <w:sz w:val="24"/>
          <w:szCs w:val="24"/>
          <w:rtl/>
        </w:rPr>
        <w:t>جامع العلوم</w:t>
      </w:r>
      <w:r w:rsidRPr="00A2389D">
        <w:rPr>
          <w:rFonts w:ascii="Simplified Arabic" w:hAnsi="Simplified Arabic" w:cs="Simplified Arabic"/>
          <w:sz w:val="24"/>
          <w:szCs w:val="24"/>
          <w:rtl/>
        </w:rPr>
        <w:t>، مرجع سابق، ص 583.</w:t>
      </w:r>
    </w:p>
  </w:footnote>
  <w:footnote w:id="54">
    <w:p w:rsidR="004F75E3" w:rsidRPr="00A2389D" w:rsidRDefault="004F75E3" w:rsidP="00252EAA">
      <w:pPr>
        <w:pStyle w:val="Notedebasdepage"/>
        <w:bidi/>
        <w:jc w:val="both"/>
        <w:rPr>
          <w:rFonts w:ascii="Simplified Arabic" w:hAnsi="Simplified Arabic" w:cs="Simplified Arabic"/>
          <w:sz w:val="24"/>
          <w:szCs w:val="24"/>
          <w:rtl/>
          <w:lang w:bidi="ar-DZ"/>
        </w:rPr>
      </w:pPr>
      <w:r w:rsidRPr="00A2389D">
        <w:rPr>
          <w:rStyle w:val="Appelnotedebasdep"/>
          <w:rFonts w:ascii="Simplified Arabic" w:hAnsi="Simplified Arabic" w:cs="Simplified Arabic"/>
          <w:sz w:val="24"/>
          <w:szCs w:val="24"/>
        </w:rPr>
        <w:footnoteRef/>
      </w:r>
      <w:r w:rsidRPr="00A2389D">
        <w:rPr>
          <w:rFonts w:ascii="Simplified Arabic" w:hAnsi="Simplified Arabic" w:cs="Simplified Arabic"/>
          <w:sz w:val="24"/>
          <w:szCs w:val="24"/>
          <w:rtl/>
        </w:rPr>
        <w:t xml:space="preserve">الآمدي، </w:t>
      </w:r>
      <w:r w:rsidRPr="00A2389D">
        <w:rPr>
          <w:rFonts w:ascii="Simplified Arabic" w:hAnsi="Simplified Arabic" w:cs="Simplified Arabic"/>
          <w:b/>
          <w:bCs/>
          <w:sz w:val="24"/>
          <w:szCs w:val="24"/>
          <w:rtl/>
        </w:rPr>
        <w:t>الإحكام في أصول الأحكام</w:t>
      </w:r>
      <w:r w:rsidRPr="00A2389D">
        <w:rPr>
          <w:rFonts w:ascii="Simplified Arabic" w:hAnsi="Simplified Arabic" w:cs="Simplified Arabic"/>
          <w:sz w:val="24"/>
          <w:szCs w:val="24"/>
          <w:rtl/>
        </w:rPr>
        <w:t>، ج 3، ص 73.</w:t>
      </w:r>
    </w:p>
  </w:footnote>
  <w:footnote w:id="55">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b/>
          <w:bCs/>
          <w:sz w:val="24"/>
          <w:szCs w:val="24"/>
          <w:rtl/>
        </w:rPr>
        <w:t>فقه الفلسفة</w:t>
      </w:r>
      <w:r w:rsidRPr="0038105F">
        <w:rPr>
          <w:rFonts w:ascii="Simplified Arabic" w:hAnsi="Simplified Arabic" w:cs="Simplified Arabic"/>
          <w:sz w:val="24"/>
          <w:szCs w:val="24"/>
          <w:rtl/>
        </w:rPr>
        <w:t>، مرجع سابق، ج 2، ص 70.</w:t>
      </w:r>
    </w:p>
  </w:footnote>
  <w:footnote w:id="56">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b/>
          <w:bCs/>
          <w:sz w:val="24"/>
          <w:szCs w:val="24"/>
          <w:rtl/>
        </w:rPr>
        <w:t>فقه الفلسفة</w:t>
      </w:r>
      <w:r w:rsidRPr="0038105F">
        <w:rPr>
          <w:rFonts w:ascii="Simplified Arabic" w:hAnsi="Simplified Arabic" w:cs="Simplified Arabic"/>
          <w:sz w:val="24"/>
          <w:szCs w:val="24"/>
          <w:rtl/>
        </w:rPr>
        <w:t>، مرجع سابق، ج 2، ص 72.</w:t>
      </w:r>
    </w:p>
  </w:footnote>
  <w:footnote w:id="57">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sz w:val="24"/>
          <w:szCs w:val="24"/>
          <w:rtl/>
        </w:rPr>
        <w:t xml:space="preserve">ابن منظور، </w:t>
      </w:r>
      <w:r w:rsidRPr="0038105F">
        <w:rPr>
          <w:rFonts w:ascii="Simplified Arabic" w:hAnsi="Simplified Arabic" w:cs="Simplified Arabic"/>
          <w:b/>
          <w:bCs/>
          <w:sz w:val="24"/>
          <w:szCs w:val="24"/>
          <w:rtl/>
        </w:rPr>
        <w:t>لسان العرب</w:t>
      </w:r>
      <w:r w:rsidRPr="0038105F">
        <w:rPr>
          <w:rFonts w:ascii="Simplified Arabic" w:hAnsi="Simplified Arabic" w:cs="Simplified Arabic"/>
          <w:sz w:val="24"/>
          <w:szCs w:val="24"/>
          <w:rtl/>
        </w:rPr>
        <w:t xml:space="preserve"> (مادة جاز) دار صادر، ــ</w:t>
      </w:r>
    </w:p>
  </w:footnote>
  <w:footnote w:id="58">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sz w:val="24"/>
          <w:szCs w:val="24"/>
          <w:rtl/>
        </w:rPr>
        <w:t xml:space="preserve">الآمدي، </w:t>
      </w:r>
      <w:r w:rsidRPr="0038105F">
        <w:rPr>
          <w:rFonts w:ascii="Simplified Arabic" w:hAnsi="Simplified Arabic" w:cs="Simplified Arabic"/>
          <w:b/>
          <w:bCs/>
          <w:sz w:val="24"/>
          <w:szCs w:val="24"/>
          <w:rtl/>
        </w:rPr>
        <w:t>الإحكام في أصول الأحكام</w:t>
      </w:r>
      <w:r w:rsidRPr="0038105F">
        <w:rPr>
          <w:rFonts w:ascii="Simplified Arabic" w:hAnsi="Simplified Arabic" w:cs="Simplified Arabic"/>
          <w:sz w:val="24"/>
          <w:szCs w:val="24"/>
          <w:rtl/>
        </w:rPr>
        <w:t>، ج 1، ص 38.</w:t>
      </w:r>
    </w:p>
  </w:footnote>
  <w:footnote w:id="59">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b/>
          <w:bCs/>
          <w:sz w:val="24"/>
          <w:szCs w:val="24"/>
          <w:rtl/>
        </w:rPr>
        <w:t>فقه الفلسفة</w:t>
      </w:r>
      <w:r w:rsidRPr="0038105F">
        <w:rPr>
          <w:rFonts w:ascii="Simplified Arabic" w:hAnsi="Simplified Arabic" w:cs="Simplified Arabic"/>
          <w:sz w:val="24"/>
          <w:szCs w:val="24"/>
          <w:rtl/>
        </w:rPr>
        <w:t>، ج 2، ص 73.</w:t>
      </w:r>
    </w:p>
  </w:footnote>
  <w:footnote w:id="60">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b/>
          <w:bCs/>
          <w:sz w:val="24"/>
          <w:szCs w:val="24"/>
          <w:rtl/>
        </w:rPr>
        <w:t>لسان العرب</w:t>
      </w:r>
      <w:r w:rsidRPr="0038105F">
        <w:rPr>
          <w:rFonts w:ascii="Simplified Arabic" w:hAnsi="Simplified Arabic" w:cs="Simplified Arabic"/>
          <w:sz w:val="24"/>
          <w:szCs w:val="24"/>
          <w:rtl/>
        </w:rPr>
        <w:t>، مرجع سابق، ج 1، ص ــ</w:t>
      </w:r>
    </w:p>
  </w:footnote>
  <w:footnote w:id="61">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sz w:val="24"/>
          <w:szCs w:val="24"/>
          <w:rtl/>
        </w:rPr>
        <w:t xml:space="preserve">ابن فورك، </w:t>
      </w:r>
      <w:r w:rsidRPr="0038105F">
        <w:rPr>
          <w:rFonts w:ascii="Simplified Arabic" w:hAnsi="Simplified Arabic" w:cs="Simplified Arabic"/>
          <w:b/>
          <w:bCs/>
          <w:sz w:val="24"/>
          <w:szCs w:val="24"/>
          <w:rtl/>
        </w:rPr>
        <w:t>مجرد مقالات الشيخ الأشعري</w:t>
      </w:r>
      <w:r w:rsidRPr="0038105F">
        <w:rPr>
          <w:rFonts w:ascii="Simplified Arabic" w:hAnsi="Simplified Arabic" w:cs="Simplified Arabic"/>
          <w:sz w:val="24"/>
          <w:szCs w:val="24"/>
          <w:rtl/>
        </w:rPr>
        <w:t>، تحقيق دنيال جيماري، دار المشرق، بيروت 1987، ص 64.</w:t>
      </w:r>
    </w:p>
  </w:footnote>
  <w:footnote w:id="62">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sz w:val="24"/>
          <w:szCs w:val="24"/>
          <w:rtl/>
        </w:rPr>
        <w:t xml:space="preserve">فخر الدين الرازي، </w:t>
      </w:r>
      <w:r w:rsidRPr="0038105F">
        <w:rPr>
          <w:rFonts w:ascii="Simplified Arabic" w:hAnsi="Simplified Arabic" w:cs="Simplified Arabic"/>
          <w:b/>
          <w:bCs/>
          <w:sz w:val="24"/>
          <w:szCs w:val="24"/>
          <w:rtl/>
        </w:rPr>
        <w:t>أساس التقديس</w:t>
      </w:r>
      <w:r w:rsidRPr="0038105F">
        <w:rPr>
          <w:rFonts w:ascii="Simplified Arabic" w:hAnsi="Simplified Arabic" w:cs="Simplified Arabic"/>
          <w:sz w:val="24"/>
          <w:szCs w:val="24"/>
          <w:rtl/>
        </w:rPr>
        <w:t>، مرجع سابق، ص 218.</w:t>
      </w:r>
    </w:p>
  </w:footnote>
  <w:footnote w:id="63">
    <w:p w:rsidR="004F75E3" w:rsidRPr="0038105F" w:rsidRDefault="004F75E3" w:rsidP="00252EAA">
      <w:pPr>
        <w:pStyle w:val="Notedebasdepage"/>
        <w:bidi/>
        <w:jc w:val="both"/>
        <w:rPr>
          <w:rFonts w:ascii="Simplified Arabic" w:hAnsi="Simplified Arabic" w:cs="Simplified Arabic"/>
          <w:sz w:val="24"/>
          <w:szCs w:val="24"/>
          <w:rtl/>
          <w:lang w:bidi="ar-DZ"/>
        </w:rPr>
      </w:pPr>
      <w:r w:rsidRPr="0038105F">
        <w:rPr>
          <w:rStyle w:val="Appelnotedebasdep"/>
          <w:rFonts w:ascii="Simplified Arabic" w:hAnsi="Simplified Arabic" w:cs="Simplified Arabic"/>
          <w:sz w:val="24"/>
          <w:szCs w:val="24"/>
        </w:rPr>
        <w:footnoteRef/>
      </w:r>
      <w:r w:rsidRPr="0038105F">
        <w:rPr>
          <w:rFonts w:ascii="Simplified Arabic" w:hAnsi="Simplified Arabic" w:cs="Simplified Arabic"/>
          <w:b/>
          <w:bCs/>
          <w:sz w:val="24"/>
          <w:szCs w:val="24"/>
          <w:rtl/>
        </w:rPr>
        <w:t>سورةالأحزاب</w:t>
      </w:r>
      <w:r w:rsidRPr="0038105F">
        <w:rPr>
          <w:rFonts w:ascii="Simplified Arabic" w:hAnsi="Simplified Arabic" w:cs="Simplified Arabic"/>
          <w:sz w:val="24"/>
          <w:szCs w:val="24"/>
          <w:rtl/>
        </w:rPr>
        <w:t>، الآية 57.</w:t>
      </w:r>
    </w:p>
  </w:footnote>
  <w:footnote w:id="64">
    <w:p w:rsidR="004F75E3" w:rsidRPr="00DC1256" w:rsidRDefault="004F75E3" w:rsidP="00252EAA">
      <w:pPr>
        <w:pStyle w:val="Notedebasdepage"/>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sz w:val="24"/>
          <w:szCs w:val="24"/>
          <w:rtl/>
        </w:rPr>
        <w:t xml:space="preserve">القاضي عبدالجبار، </w:t>
      </w:r>
      <w:r w:rsidRPr="00DC1256">
        <w:rPr>
          <w:rFonts w:ascii="Simplified Arabic" w:hAnsi="Simplified Arabic" w:cs="Simplified Arabic"/>
          <w:b/>
          <w:bCs/>
          <w:sz w:val="24"/>
          <w:szCs w:val="24"/>
          <w:rtl/>
        </w:rPr>
        <w:t>متشابه القرآن</w:t>
      </w:r>
      <w:r w:rsidRPr="00DC1256">
        <w:rPr>
          <w:rFonts w:ascii="Simplified Arabic" w:hAnsi="Simplified Arabic" w:cs="Simplified Arabic"/>
          <w:sz w:val="24"/>
          <w:szCs w:val="24"/>
          <w:rtl/>
        </w:rPr>
        <w:t>، تحقيق محمد زرزور، دار التراث، القاهرة، 1969، ج 1، ص 19.</w:t>
      </w:r>
    </w:p>
  </w:footnote>
  <w:footnote w:id="65">
    <w:p w:rsidR="004F75E3" w:rsidRPr="00DC1256" w:rsidRDefault="004F75E3" w:rsidP="00252EAA">
      <w:pPr>
        <w:pStyle w:val="Notedebasdepage"/>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b/>
          <w:bCs/>
          <w:sz w:val="24"/>
          <w:szCs w:val="24"/>
          <w:rtl/>
        </w:rPr>
        <w:t>فقه الفلسفة</w:t>
      </w:r>
      <w:r w:rsidRPr="00DC1256">
        <w:rPr>
          <w:rFonts w:ascii="Simplified Arabic" w:hAnsi="Simplified Arabic" w:cs="Simplified Arabic"/>
          <w:sz w:val="24"/>
          <w:szCs w:val="24"/>
          <w:rtl/>
        </w:rPr>
        <w:t>، مرجع سابق، ج 2، ص 73.</w:t>
      </w:r>
    </w:p>
  </w:footnote>
  <w:footnote w:id="66">
    <w:p w:rsidR="004F75E3" w:rsidRPr="00DC1256" w:rsidRDefault="004F75E3" w:rsidP="00252EAA">
      <w:pPr>
        <w:pStyle w:val="Notedebasdepage"/>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b/>
          <w:bCs/>
          <w:sz w:val="24"/>
          <w:szCs w:val="24"/>
          <w:rtl/>
        </w:rPr>
        <w:t>المرجع نفسه</w:t>
      </w:r>
      <w:r w:rsidRPr="00DC1256">
        <w:rPr>
          <w:rFonts w:ascii="Simplified Arabic" w:hAnsi="Simplified Arabic" w:cs="Simplified Arabic"/>
          <w:sz w:val="24"/>
          <w:szCs w:val="24"/>
          <w:rtl/>
        </w:rPr>
        <w:t>، ج 2،ص 74.</w:t>
      </w:r>
    </w:p>
  </w:footnote>
  <w:footnote w:id="67">
    <w:p w:rsidR="004F75E3" w:rsidRPr="00DC1256" w:rsidRDefault="004F75E3" w:rsidP="00252EAA">
      <w:pPr>
        <w:pStyle w:val="Notedebasdepage"/>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b/>
          <w:bCs/>
          <w:sz w:val="24"/>
          <w:szCs w:val="24"/>
          <w:rtl/>
        </w:rPr>
        <w:t>المرجع نفسه،</w:t>
      </w:r>
      <w:r w:rsidRPr="00DC1256">
        <w:rPr>
          <w:rFonts w:ascii="Simplified Arabic" w:hAnsi="Simplified Arabic" w:cs="Simplified Arabic"/>
          <w:sz w:val="24"/>
          <w:szCs w:val="24"/>
          <w:rtl/>
        </w:rPr>
        <w:t xml:space="preserve"> ج 2، ص 75.</w:t>
      </w:r>
    </w:p>
  </w:footnote>
  <w:footnote w:id="68">
    <w:p w:rsidR="004F75E3" w:rsidRPr="00DC1256" w:rsidRDefault="004F75E3" w:rsidP="00252EAA">
      <w:pPr>
        <w:pStyle w:val="Notedebasdepage"/>
        <w:bidi/>
        <w:jc w:val="both"/>
        <w:rPr>
          <w:rFonts w:ascii="Simplified Arabic" w:hAnsi="Simplified Arabic" w:cs="Simplified Arabic"/>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b/>
          <w:bCs/>
          <w:sz w:val="24"/>
          <w:szCs w:val="24"/>
          <w:rtl/>
        </w:rPr>
        <w:t>سورة الرحمن</w:t>
      </w:r>
      <w:r w:rsidRPr="00DC1256">
        <w:rPr>
          <w:rFonts w:ascii="Simplified Arabic" w:hAnsi="Simplified Arabic" w:cs="Simplified Arabic"/>
          <w:sz w:val="24"/>
          <w:szCs w:val="24"/>
          <w:rtl/>
        </w:rPr>
        <w:t>، الآية 3-4.</w:t>
      </w:r>
    </w:p>
  </w:footnote>
  <w:footnote w:id="69">
    <w:p w:rsidR="004F75E3" w:rsidRPr="00DC1256" w:rsidRDefault="004F75E3" w:rsidP="00252EAA">
      <w:pPr>
        <w:pStyle w:val="Notedebasdepage"/>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sz w:val="24"/>
          <w:szCs w:val="24"/>
          <w:rtl/>
        </w:rPr>
        <w:t xml:space="preserve">انظر ابن حزم الأندلسي، </w:t>
      </w:r>
      <w:r w:rsidRPr="00DC1256">
        <w:rPr>
          <w:rFonts w:ascii="Simplified Arabic" w:hAnsi="Simplified Arabic" w:cs="Simplified Arabic"/>
          <w:b/>
          <w:bCs/>
          <w:sz w:val="24"/>
          <w:szCs w:val="24"/>
          <w:rtl/>
        </w:rPr>
        <w:t>التقريب لحد المنطق والمدخل إليه بالألفاظ العامية والأمثلة الفقهية</w:t>
      </w:r>
      <w:r w:rsidRPr="00DC1256">
        <w:rPr>
          <w:rFonts w:ascii="Simplified Arabic" w:hAnsi="Simplified Arabic" w:cs="Simplified Arabic"/>
          <w:sz w:val="24"/>
          <w:szCs w:val="24"/>
          <w:rtl/>
        </w:rPr>
        <w:t>، ضمن رسائل ابن حزم الأندلسي، تحقيق إحسان عباس، بيروت، المؤسسة العربية للدراسات والنشر 1983، ج 4، ص 94-100.</w:t>
      </w:r>
    </w:p>
  </w:footnote>
  <w:footnote w:id="70">
    <w:p w:rsidR="004F75E3" w:rsidRPr="00DC1256" w:rsidRDefault="004F75E3" w:rsidP="00252EAA">
      <w:pPr>
        <w:pStyle w:val="Notedebasdepage"/>
        <w:tabs>
          <w:tab w:val="right" w:pos="9070"/>
        </w:tabs>
        <w:bidi/>
        <w:jc w:val="both"/>
        <w:rPr>
          <w:rFonts w:ascii="Simplified Arabic" w:hAnsi="Simplified Arabic" w:cs="Simplified Arabic"/>
          <w:sz w:val="24"/>
          <w:szCs w:val="24"/>
          <w:rtl/>
          <w:lang w:bidi="ar-DZ"/>
        </w:rPr>
      </w:pPr>
      <w:r w:rsidRPr="00DC1256">
        <w:rPr>
          <w:rStyle w:val="Appelnotedebasdep"/>
          <w:rFonts w:ascii="Simplified Arabic" w:hAnsi="Simplified Arabic" w:cs="Simplified Arabic"/>
          <w:sz w:val="24"/>
          <w:szCs w:val="24"/>
        </w:rPr>
        <w:footnoteRef/>
      </w:r>
      <w:r w:rsidRPr="00DC1256">
        <w:rPr>
          <w:rFonts w:ascii="Simplified Arabic" w:hAnsi="Simplified Arabic" w:cs="Simplified Arabic"/>
          <w:sz w:val="24"/>
          <w:szCs w:val="24"/>
          <w:rtl/>
        </w:rPr>
        <w:t xml:space="preserve">عادل فاخوري، </w:t>
      </w:r>
      <w:r w:rsidRPr="00DC1256">
        <w:rPr>
          <w:rFonts w:ascii="Simplified Arabic" w:hAnsi="Simplified Arabic" w:cs="Simplified Arabic"/>
          <w:b/>
          <w:bCs/>
          <w:sz w:val="24"/>
          <w:szCs w:val="24"/>
          <w:rtl/>
        </w:rPr>
        <w:t>منطق العرب</w:t>
      </w:r>
      <w:r w:rsidRPr="00DC1256">
        <w:rPr>
          <w:rFonts w:ascii="Simplified Arabic" w:hAnsi="Simplified Arabic" w:cs="Simplified Arabic"/>
          <w:sz w:val="24"/>
          <w:szCs w:val="24"/>
          <w:rtl/>
        </w:rPr>
        <w:t>، ص 19-35</w:t>
      </w:r>
    </w:p>
  </w:footnote>
  <w:footnote w:id="71">
    <w:p w:rsidR="004F75E3" w:rsidRPr="00DC1256" w:rsidRDefault="004F75E3" w:rsidP="00252EAA">
      <w:pPr>
        <w:pStyle w:val="Notedebasdepage"/>
        <w:jc w:val="both"/>
        <w:rPr>
          <w:rFonts w:asciiTheme="majorBidi" w:hAnsiTheme="majorBidi" w:cstheme="majorBidi"/>
          <w:sz w:val="24"/>
          <w:szCs w:val="24"/>
          <w:rtl/>
          <w:lang w:bidi="ar-DZ"/>
        </w:rPr>
      </w:pPr>
      <w:r w:rsidRPr="00DC1256">
        <w:rPr>
          <w:rStyle w:val="Appelnotedebasdep"/>
          <w:rFonts w:asciiTheme="majorBidi" w:hAnsiTheme="majorBidi" w:cstheme="majorBidi"/>
          <w:sz w:val="24"/>
          <w:szCs w:val="24"/>
        </w:rPr>
        <w:footnoteRef/>
      </w:r>
      <w:r w:rsidRPr="00DC1256">
        <w:rPr>
          <w:rFonts w:asciiTheme="majorBidi" w:hAnsiTheme="majorBidi" w:cstheme="majorBidi"/>
          <w:sz w:val="24"/>
          <w:szCs w:val="24"/>
          <w:lang w:bidi="ar-DZ"/>
        </w:rPr>
        <w:t xml:space="preserve">Arnauld et Nicole, la logique, </w:t>
      </w:r>
      <w:r w:rsidRPr="00DC1256">
        <w:rPr>
          <w:rFonts w:asciiTheme="majorBidi" w:hAnsiTheme="majorBidi" w:cstheme="majorBidi"/>
          <w:b/>
          <w:bCs/>
          <w:sz w:val="24"/>
          <w:szCs w:val="24"/>
          <w:lang w:bidi="ar-DZ"/>
        </w:rPr>
        <w:t>ou l’art de penser</w:t>
      </w:r>
      <w:r w:rsidRPr="00DC1256">
        <w:rPr>
          <w:rFonts w:asciiTheme="majorBidi" w:hAnsiTheme="majorBidi" w:cstheme="majorBidi"/>
          <w:sz w:val="24"/>
          <w:szCs w:val="24"/>
          <w:lang w:bidi="ar-DZ"/>
        </w:rPr>
        <w:t>, ed Flammarion paris, 1990, p40, 41.</w:t>
      </w:r>
    </w:p>
  </w:footnote>
  <w:footnote w:id="72">
    <w:p w:rsidR="004F75E3" w:rsidRPr="00DC1256" w:rsidRDefault="004F75E3" w:rsidP="00252EAA">
      <w:pPr>
        <w:pStyle w:val="Notedebasdepage"/>
        <w:jc w:val="both"/>
        <w:rPr>
          <w:rFonts w:asciiTheme="majorBidi" w:hAnsiTheme="majorBidi" w:cstheme="majorBidi"/>
          <w:sz w:val="24"/>
          <w:szCs w:val="24"/>
          <w:rtl/>
          <w:lang w:bidi="ar-DZ"/>
        </w:rPr>
      </w:pPr>
      <w:r w:rsidRPr="00DC1256">
        <w:rPr>
          <w:rStyle w:val="Appelnotedebasdep"/>
          <w:rFonts w:asciiTheme="majorBidi" w:hAnsiTheme="majorBidi" w:cstheme="majorBidi"/>
          <w:sz w:val="24"/>
          <w:szCs w:val="24"/>
        </w:rPr>
        <w:footnoteRef/>
      </w:r>
      <w:r w:rsidRPr="00DC1256">
        <w:rPr>
          <w:rFonts w:asciiTheme="majorBidi" w:hAnsiTheme="majorBidi" w:cstheme="majorBidi"/>
          <w:b/>
          <w:bCs/>
          <w:sz w:val="24"/>
          <w:szCs w:val="24"/>
          <w:lang w:bidi="ar-DZ"/>
        </w:rPr>
        <w:t>ibid</w:t>
      </w:r>
      <w:r w:rsidRPr="00DC1256">
        <w:rPr>
          <w:rFonts w:asciiTheme="majorBidi" w:hAnsiTheme="majorBidi" w:cstheme="majorBidi"/>
          <w:sz w:val="24"/>
          <w:szCs w:val="24"/>
          <w:lang w:bidi="ar-DZ"/>
        </w:rPr>
        <w:t>, P59.</w:t>
      </w:r>
    </w:p>
  </w:footnote>
  <w:footnote w:id="73">
    <w:p w:rsidR="004F75E3" w:rsidRPr="00DC1256" w:rsidRDefault="004F75E3" w:rsidP="00252EAA">
      <w:pPr>
        <w:pStyle w:val="Notedebasdepage"/>
        <w:jc w:val="both"/>
        <w:rPr>
          <w:rFonts w:asciiTheme="majorBidi" w:hAnsiTheme="majorBidi" w:cstheme="majorBidi"/>
          <w:sz w:val="24"/>
          <w:szCs w:val="24"/>
          <w:rtl/>
          <w:lang w:bidi="ar-DZ"/>
        </w:rPr>
      </w:pPr>
      <w:r w:rsidRPr="00DC1256">
        <w:rPr>
          <w:rStyle w:val="Appelnotedebasdep"/>
          <w:rFonts w:asciiTheme="majorBidi" w:hAnsiTheme="majorBidi" w:cstheme="majorBidi"/>
          <w:sz w:val="24"/>
          <w:szCs w:val="24"/>
        </w:rPr>
        <w:footnoteRef/>
      </w:r>
      <w:r w:rsidRPr="00DC1256">
        <w:rPr>
          <w:rFonts w:asciiTheme="majorBidi" w:hAnsiTheme="majorBidi" w:cstheme="majorBidi"/>
          <w:sz w:val="24"/>
          <w:szCs w:val="24"/>
          <w:lang w:bidi="ar-DZ"/>
        </w:rPr>
        <w:t xml:space="preserve">B.Russell, </w:t>
      </w:r>
      <w:r w:rsidRPr="00DC1256">
        <w:rPr>
          <w:rFonts w:asciiTheme="majorBidi" w:hAnsiTheme="majorBidi" w:cstheme="majorBidi"/>
          <w:b/>
          <w:bCs/>
          <w:sz w:val="24"/>
          <w:szCs w:val="24"/>
          <w:lang w:bidi="ar-DZ"/>
        </w:rPr>
        <w:t>Historie de la philosophie occidentale</w:t>
      </w:r>
      <w:r w:rsidRPr="00DC1256">
        <w:rPr>
          <w:rFonts w:asciiTheme="majorBidi" w:hAnsiTheme="majorBidi" w:cstheme="majorBidi"/>
          <w:sz w:val="24"/>
          <w:szCs w:val="24"/>
          <w:lang w:bidi="ar-DZ"/>
        </w:rPr>
        <w:t>, op cite, p846</w:t>
      </w:r>
    </w:p>
  </w:footnote>
  <w:footnote w:id="74">
    <w:p w:rsidR="004F75E3" w:rsidRPr="00DC1256" w:rsidRDefault="004F75E3" w:rsidP="00252EAA">
      <w:pPr>
        <w:pStyle w:val="Notedebasdepage"/>
        <w:jc w:val="both"/>
        <w:rPr>
          <w:rFonts w:asciiTheme="majorBidi" w:hAnsiTheme="majorBidi" w:cstheme="majorBidi"/>
          <w:sz w:val="24"/>
          <w:szCs w:val="24"/>
          <w:rtl/>
          <w:lang w:bidi="ar-DZ"/>
        </w:rPr>
      </w:pPr>
      <w:r w:rsidRPr="00DC1256">
        <w:rPr>
          <w:rStyle w:val="Appelnotedebasdep"/>
          <w:rFonts w:asciiTheme="majorBidi" w:hAnsiTheme="majorBidi" w:cstheme="majorBidi"/>
          <w:sz w:val="24"/>
          <w:szCs w:val="24"/>
        </w:rPr>
        <w:footnoteRef/>
      </w:r>
      <w:r w:rsidRPr="00DC1256">
        <w:rPr>
          <w:rFonts w:asciiTheme="majorBidi" w:hAnsiTheme="majorBidi" w:cstheme="majorBidi"/>
          <w:b/>
          <w:bCs/>
          <w:sz w:val="24"/>
          <w:szCs w:val="24"/>
          <w:lang w:val="en-US" w:bidi="ar-DZ"/>
        </w:rPr>
        <w:t>ibid</w:t>
      </w:r>
      <w:r w:rsidRPr="00DC1256">
        <w:rPr>
          <w:rFonts w:asciiTheme="majorBidi" w:hAnsiTheme="majorBidi" w:cstheme="majorBidi"/>
          <w:sz w:val="24"/>
          <w:szCs w:val="24"/>
          <w:lang w:val="en-US" w:bidi="ar-DZ"/>
        </w:rPr>
        <w:t>, p552-555.</w:t>
      </w:r>
    </w:p>
  </w:footnote>
  <w:footnote w:id="75">
    <w:p w:rsidR="004F75E3" w:rsidRPr="00DC1256" w:rsidRDefault="004F75E3" w:rsidP="00252EAA">
      <w:pPr>
        <w:pStyle w:val="Notedebasdepage"/>
        <w:jc w:val="both"/>
        <w:rPr>
          <w:rFonts w:asciiTheme="majorBidi" w:hAnsiTheme="majorBidi" w:cstheme="majorBidi"/>
          <w:sz w:val="24"/>
          <w:szCs w:val="24"/>
          <w:rtl/>
          <w:lang w:bidi="ar-DZ"/>
        </w:rPr>
      </w:pPr>
      <w:r w:rsidRPr="00DC1256">
        <w:rPr>
          <w:rStyle w:val="Appelnotedebasdep"/>
          <w:rFonts w:asciiTheme="majorBidi" w:hAnsiTheme="majorBidi" w:cstheme="majorBidi"/>
          <w:sz w:val="24"/>
          <w:szCs w:val="24"/>
        </w:rPr>
        <w:footnoteRef/>
      </w:r>
      <w:r w:rsidRPr="00DC1256">
        <w:rPr>
          <w:rFonts w:asciiTheme="majorBidi" w:hAnsiTheme="majorBidi" w:cstheme="majorBidi"/>
          <w:sz w:val="24"/>
          <w:szCs w:val="24"/>
          <w:lang w:val="en-US" w:bidi="ar-DZ"/>
        </w:rPr>
        <w:t>B. Russell, op Cit, P572.</w:t>
      </w:r>
    </w:p>
  </w:footnote>
  <w:footnote w:id="76">
    <w:p w:rsidR="004F75E3" w:rsidRPr="00A12360" w:rsidRDefault="004F75E3" w:rsidP="00252EAA">
      <w:pPr>
        <w:pStyle w:val="Notedebasdepage"/>
        <w:bidi/>
        <w:jc w:val="both"/>
        <w:rPr>
          <w:rFonts w:ascii="Simplified Arabic" w:hAnsi="Simplified Arabic" w:cs="Simplified Arabic"/>
          <w:sz w:val="24"/>
          <w:szCs w:val="24"/>
          <w:rtl/>
          <w:lang w:bidi="ar-DZ"/>
        </w:rPr>
      </w:pPr>
      <w:r w:rsidRPr="00A12360">
        <w:rPr>
          <w:rStyle w:val="Appelnotedebasdep"/>
          <w:rFonts w:ascii="Simplified Arabic" w:hAnsi="Simplified Arabic" w:cs="Simplified Arabic"/>
          <w:sz w:val="24"/>
          <w:szCs w:val="24"/>
        </w:rPr>
        <w:footnoteRef/>
      </w:r>
      <w:r w:rsidRPr="00A12360">
        <w:rPr>
          <w:rFonts w:ascii="Simplified Arabic" w:hAnsi="Simplified Arabic" w:cs="Simplified Arabic"/>
          <w:sz w:val="24"/>
          <w:szCs w:val="24"/>
          <w:rtl/>
        </w:rPr>
        <w:t xml:space="preserve">بوشنسكي، أ. م.: </w:t>
      </w:r>
      <w:r w:rsidRPr="00A12360">
        <w:rPr>
          <w:rFonts w:ascii="Simplified Arabic" w:hAnsi="Simplified Arabic" w:cs="Simplified Arabic"/>
          <w:b/>
          <w:bCs/>
          <w:sz w:val="24"/>
          <w:szCs w:val="24"/>
          <w:rtl/>
        </w:rPr>
        <w:t>الفلسفة المعاصرة في أوروبا</w:t>
      </w:r>
      <w:r w:rsidRPr="00A12360">
        <w:rPr>
          <w:rFonts w:ascii="Simplified Arabic" w:hAnsi="Simplified Arabic" w:cs="Simplified Arabic"/>
          <w:sz w:val="24"/>
          <w:szCs w:val="24"/>
          <w:rtl/>
        </w:rPr>
        <w:t>، المجلس الوطني للثقافة والفنون والآداب، عالم المعرفة، العدد 165، الكويت، 1992، ص 44.</w:t>
      </w:r>
    </w:p>
  </w:footnote>
  <w:footnote w:id="77">
    <w:p w:rsidR="004F75E3" w:rsidRPr="00A12360" w:rsidRDefault="004F75E3" w:rsidP="00252EAA">
      <w:pPr>
        <w:pStyle w:val="Notedebasdepage"/>
        <w:jc w:val="both"/>
        <w:rPr>
          <w:rFonts w:asciiTheme="majorBidi" w:hAnsiTheme="majorBidi" w:cstheme="majorBidi"/>
          <w:sz w:val="24"/>
          <w:szCs w:val="24"/>
          <w:rtl/>
          <w:lang w:bidi="ar-DZ"/>
        </w:rPr>
      </w:pPr>
      <w:r w:rsidRPr="00A12360">
        <w:rPr>
          <w:rStyle w:val="Appelnotedebasdep"/>
          <w:rFonts w:asciiTheme="majorBidi" w:hAnsiTheme="majorBidi" w:cstheme="majorBidi"/>
          <w:sz w:val="24"/>
          <w:szCs w:val="24"/>
        </w:rPr>
        <w:footnoteRef/>
      </w:r>
      <w:r w:rsidRPr="00A12360">
        <w:rPr>
          <w:rFonts w:asciiTheme="majorBidi" w:hAnsiTheme="majorBidi" w:cstheme="majorBidi"/>
          <w:sz w:val="24"/>
          <w:szCs w:val="24"/>
          <w:lang w:val="en-US" w:bidi="ar-DZ"/>
        </w:rPr>
        <w:t xml:space="preserve">B. Russell, </w:t>
      </w:r>
      <w:r w:rsidRPr="00A12360">
        <w:rPr>
          <w:rFonts w:asciiTheme="majorBidi" w:hAnsiTheme="majorBidi" w:cstheme="majorBidi"/>
          <w:b/>
          <w:bCs/>
          <w:sz w:val="24"/>
          <w:szCs w:val="24"/>
          <w:lang w:val="en-US" w:bidi="ar-DZ"/>
        </w:rPr>
        <w:t>op cit</w:t>
      </w:r>
      <w:r w:rsidRPr="00A12360">
        <w:rPr>
          <w:rFonts w:asciiTheme="majorBidi" w:hAnsiTheme="majorBidi" w:cstheme="majorBidi"/>
          <w:sz w:val="24"/>
          <w:szCs w:val="24"/>
          <w:lang w:val="en-US" w:bidi="ar-DZ"/>
        </w:rPr>
        <w:t>, P602.</w:t>
      </w:r>
    </w:p>
  </w:footnote>
  <w:footnote w:id="78">
    <w:p w:rsidR="004F75E3" w:rsidRPr="00A12360" w:rsidRDefault="004F75E3" w:rsidP="00252EAA">
      <w:pPr>
        <w:pStyle w:val="Notedebasdepage"/>
        <w:jc w:val="both"/>
        <w:rPr>
          <w:rFonts w:asciiTheme="majorBidi" w:hAnsiTheme="majorBidi" w:cstheme="majorBidi"/>
          <w:sz w:val="24"/>
          <w:szCs w:val="24"/>
          <w:rtl/>
          <w:lang w:bidi="ar-DZ"/>
        </w:rPr>
      </w:pPr>
      <w:r w:rsidRPr="00A12360">
        <w:rPr>
          <w:rStyle w:val="Appelnotedebasdep"/>
          <w:rFonts w:asciiTheme="majorBidi" w:hAnsiTheme="majorBidi" w:cstheme="majorBidi"/>
          <w:sz w:val="24"/>
          <w:szCs w:val="24"/>
        </w:rPr>
        <w:footnoteRef/>
      </w:r>
      <w:r w:rsidRPr="00A12360">
        <w:rPr>
          <w:rFonts w:asciiTheme="majorBidi" w:hAnsiTheme="majorBidi" w:cstheme="majorBidi"/>
          <w:b/>
          <w:bCs/>
          <w:sz w:val="24"/>
          <w:szCs w:val="24"/>
          <w:lang w:bidi="ar-DZ"/>
        </w:rPr>
        <w:t>ibid</w:t>
      </w:r>
      <w:r w:rsidRPr="00A12360">
        <w:rPr>
          <w:rFonts w:asciiTheme="majorBidi" w:hAnsiTheme="majorBidi" w:cstheme="majorBidi"/>
          <w:sz w:val="24"/>
          <w:szCs w:val="24"/>
          <w:lang w:bidi="ar-DZ"/>
        </w:rPr>
        <w:t>, P603.</w:t>
      </w:r>
    </w:p>
  </w:footnote>
  <w:footnote w:id="79">
    <w:p w:rsidR="004F75E3" w:rsidRPr="00A12360" w:rsidRDefault="004F75E3" w:rsidP="00252EAA">
      <w:pPr>
        <w:pStyle w:val="Notedebasdepage"/>
        <w:jc w:val="both"/>
        <w:rPr>
          <w:rFonts w:asciiTheme="majorBidi" w:hAnsiTheme="majorBidi" w:cstheme="majorBidi"/>
          <w:sz w:val="24"/>
          <w:szCs w:val="24"/>
          <w:rtl/>
          <w:lang w:bidi="ar-DZ"/>
        </w:rPr>
      </w:pPr>
      <w:r w:rsidRPr="00A12360">
        <w:rPr>
          <w:rStyle w:val="Appelnotedebasdep"/>
          <w:rFonts w:asciiTheme="majorBidi" w:hAnsiTheme="majorBidi" w:cstheme="majorBidi"/>
          <w:sz w:val="24"/>
          <w:szCs w:val="24"/>
        </w:rPr>
        <w:footnoteRef/>
      </w:r>
      <w:r w:rsidRPr="00A12360">
        <w:rPr>
          <w:rFonts w:asciiTheme="majorBidi" w:hAnsiTheme="majorBidi" w:cstheme="majorBidi"/>
          <w:sz w:val="24"/>
          <w:szCs w:val="24"/>
        </w:rPr>
        <w:t xml:space="preserve">M. Blanché, </w:t>
      </w:r>
      <w:r w:rsidRPr="00A12360">
        <w:rPr>
          <w:rFonts w:asciiTheme="majorBidi" w:hAnsiTheme="majorBidi" w:cstheme="majorBidi"/>
          <w:b/>
          <w:bCs/>
          <w:sz w:val="24"/>
          <w:szCs w:val="24"/>
        </w:rPr>
        <w:t>introduction a la logique conterporaine</w:t>
      </w:r>
      <w:r w:rsidRPr="00A12360">
        <w:rPr>
          <w:rFonts w:asciiTheme="majorBidi" w:hAnsiTheme="majorBidi" w:cstheme="majorBidi"/>
          <w:sz w:val="24"/>
          <w:szCs w:val="24"/>
        </w:rPr>
        <w:t>, éd colin paris, p130.</w:t>
      </w:r>
    </w:p>
  </w:footnote>
  <w:footnote w:id="80">
    <w:p w:rsidR="004F75E3" w:rsidRPr="00A12360" w:rsidRDefault="004F75E3" w:rsidP="00252EAA">
      <w:pPr>
        <w:pStyle w:val="Notedebasdepage"/>
        <w:jc w:val="both"/>
        <w:rPr>
          <w:rFonts w:asciiTheme="majorBidi" w:hAnsiTheme="majorBidi" w:cstheme="majorBidi"/>
          <w:sz w:val="24"/>
          <w:szCs w:val="24"/>
          <w:rtl/>
          <w:lang w:bidi="ar-DZ"/>
        </w:rPr>
      </w:pPr>
      <w:r w:rsidRPr="00A12360">
        <w:rPr>
          <w:rStyle w:val="Appelnotedebasdep"/>
          <w:rFonts w:asciiTheme="majorBidi" w:hAnsiTheme="majorBidi" w:cstheme="majorBidi"/>
          <w:sz w:val="24"/>
          <w:szCs w:val="24"/>
        </w:rPr>
        <w:footnoteRef/>
      </w:r>
      <w:r w:rsidRPr="00A12360">
        <w:rPr>
          <w:rFonts w:asciiTheme="majorBidi" w:hAnsiTheme="majorBidi" w:cstheme="majorBidi"/>
          <w:sz w:val="24"/>
          <w:szCs w:val="24"/>
          <w:lang w:bidi="ar-DZ"/>
        </w:rPr>
        <w:t>M. Blanché ,</w:t>
      </w:r>
      <w:r w:rsidRPr="00A12360">
        <w:rPr>
          <w:rFonts w:asciiTheme="majorBidi" w:hAnsiTheme="majorBidi" w:cstheme="majorBidi"/>
          <w:b/>
          <w:bCs/>
          <w:sz w:val="24"/>
          <w:szCs w:val="24"/>
          <w:lang w:bidi="ar-DZ"/>
        </w:rPr>
        <w:t>op cit,</w:t>
      </w:r>
      <w:r w:rsidRPr="00A12360">
        <w:rPr>
          <w:rFonts w:asciiTheme="majorBidi" w:hAnsiTheme="majorBidi" w:cstheme="majorBidi"/>
          <w:sz w:val="24"/>
          <w:szCs w:val="24"/>
          <w:lang w:bidi="ar-DZ"/>
        </w:rPr>
        <w:t xml:space="preserve"> p133.</w:t>
      </w:r>
    </w:p>
  </w:footnote>
  <w:footnote w:id="81">
    <w:p w:rsidR="004F75E3" w:rsidRPr="00A12360" w:rsidRDefault="004F75E3" w:rsidP="00252EAA">
      <w:pPr>
        <w:pStyle w:val="Notedebasdepage"/>
        <w:jc w:val="both"/>
        <w:rPr>
          <w:rFonts w:asciiTheme="majorBidi" w:hAnsiTheme="majorBidi" w:cstheme="majorBidi"/>
          <w:sz w:val="24"/>
          <w:szCs w:val="24"/>
          <w:rtl/>
          <w:lang w:bidi="ar-DZ"/>
        </w:rPr>
      </w:pPr>
      <w:r w:rsidRPr="00A12360">
        <w:rPr>
          <w:rStyle w:val="Appelnotedebasdep"/>
          <w:rFonts w:asciiTheme="majorBidi" w:hAnsiTheme="majorBidi" w:cstheme="majorBidi"/>
          <w:sz w:val="24"/>
          <w:szCs w:val="24"/>
        </w:rPr>
        <w:footnoteRef/>
      </w:r>
      <w:r w:rsidRPr="00A12360">
        <w:rPr>
          <w:rFonts w:asciiTheme="majorBidi" w:hAnsiTheme="majorBidi" w:cstheme="majorBidi"/>
          <w:sz w:val="24"/>
          <w:szCs w:val="24"/>
          <w:lang w:val="en-US"/>
        </w:rPr>
        <w:t xml:space="preserve">B.Russell, </w:t>
      </w:r>
      <w:r w:rsidRPr="00A12360">
        <w:rPr>
          <w:rFonts w:asciiTheme="majorBidi" w:hAnsiTheme="majorBidi" w:cstheme="majorBidi"/>
          <w:b/>
          <w:bCs/>
          <w:sz w:val="24"/>
          <w:szCs w:val="24"/>
          <w:lang w:val="en-US"/>
        </w:rPr>
        <w:t xml:space="preserve">op cit, </w:t>
      </w:r>
      <w:r w:rsidRPr="00A12360">
        <w:rPr>
          <w:rFonts w:asciiTheme="majorBidi" w:hAnsiTheme="majorBidi" w:cstheme="majorBidi"/>
          <w:sz w:val="24"/>
          <w:szCs w:val="24"/>
          <w:lang w:val="en-US"/>
        </w:rPr>
        <w:t>p841-842.</w:t>
      </w:r>
    </w:p>
  </w:footnote>
  <w:footnote w:id="82">
    <w:p w:rsidR="004F75E3" w:rsidRPr="00A12360" w:rsidRDefault="004F75E3" w:rsidP="00252EAA">
      <w:pPr>
        <w:pStyle w:val="Notedebasdepage"/>
        <w:bidi/>
        <w:jc w:val="both"/>
        <w:rPr>
          <w:rFonts w:ascii="Simplified Arabic" w:hAnsi="Simplified Arabic" w:cs="Simplified Arabic"/>
          <w:sz w:val="24"/>
          <w:szCs w:val="24"/>
          <w:rtl/>
          <w:lang w:bidi="ar-DZ"/>
        </w:rPr>
      </w:pPr>
      <w:r w:rsidRPr="00A12360">
        <w:rPr>
          <w:rStyle w:val="Appelnotedebasdep"/>
          <w:rFonts w:ascii="Simplified Arabic" w:hAnsi="Simplified Arabic" w:cs="Simplified Arabic"/>
          <w:sz w:val="24"/>
          <w:szCs w:val="24"/>
        </w:rPr>
        <w:footnoteRef/>
      </w:r>
      <w:r w:rsidRPr="00A12360">
        <w:rPr>
          <w:rFonts w:ascii="Simplified Arabic" w:hAnsi="Simplified Arabic" w:cs="Simplified Arabic"/>
          <w:sz w:val="24"/>
          <w:szCs w:val="24"/>
          <w:rtl/>
        </w:rPr>
        <w:t>نجيب الحصادي،</w:t>
      </w:r>
      <w:r w:rsidRPr="00A12360">
        <w:rPr>
          <w:rFonts w:ascii="Simplified Arabic" w:hAnsi="Simplified Arabic" w:cs="Simplified Arabic"/>
          <w:b/>
          <w:bCs/>
          <w:sz w:val="24"/>
          <w:szCs w:val="24"/>
          <w:rtl/>
        </w:rPr>
        <w:t xml:space="preserve"> تقريظ العلم</w:t>
      </w:r>
      <w:r w:rsidRPr="00A12360">
        <w:rPr>
          <w:rFonts w:ascii="Simplified Arabic" w:hAnsi="Simplified Arabic" w:cs="Simplified Arabic"/>
          <w:sz w:val="24"/>
          <w:szCs w:val="24"/>
          <w:rtl/>
        </w:rPr>
        <w:t>، طرابلس-ليبيا، الدار الجماهرية للنشر والتوزيع والإعلام، ط 1، 1990، ص 23.</w:t>
      </w:r>
    </w:p>
  </w:footnote>
  <w:footnote w:id="83">
    <w:p w:rsidR="004F75E3" w:rsidRPr="00A12360" w:rsidRDefault="004F75E3" w:rsidP="00252EAA">
      <w:pPr>
        <w:pStyle w:val="Notedebasdepage"/>
        <w:bidi/>
        <w:jc w:val="both"/>
        <w:rPr>
          <w:rFonts w:ascii="Simplified Arabic" w:hAnsi="Simplified Arabic" w:cs="Simplified Arabic"/>
          <w:sz w:val="24"/>
          <w:szCs w:val="24"/>
          <w:rtl/>
          <w:lang w:bidi="ar-DZ"/>
        </w:rPr>
      </w:pPr>
      <w:r w:rsidRPr="00A12360">
        <w:rPr>
          <w:rStyle w:val="Appelnotedebasdep"/>
          <w:rFonts w:ascii="Simplified Arabic" w:hAnsi="Simplified Arabic" w:cs="Simplified Arabic"/>
          <w:sz w:val="24"/>
          <w:szCs w:val="24"/>
        </w:rPr>
        <w:footnoteRef/>
      </w:r>
      <w:r w:rsidRPr="00A12360">
        <w:rPr>
          <w:rFonts w:ascii="Simplified Arabic" w:hAnsi="Simplified Arabic" w:cs="Simplified Arabic"/>
          <w:b/>
          <w:bCs/>
          <w:sz w:val="24"/>
          <w:szCs w:val="24"/>
          <w:rtl/>
        </w:rPr>
        <w:t>اللسان والميزان</w:t>
      </w:r>
      <w:r w:rsidRPr="00A12360">
        <w:rPr>
          <w:rFonts w:ascii="Simplified Arabic" w:hAnsi="Simplified Arabic" w:cs="Simplified Arabic"/>
          <w:sz w:val="24"/>
          <w:szCs w:val="24"/>
          <w:rtl/>
        </w:rPr>
        <w:t>، مرجع سابق، ج 174.</w:t>
      </w:r>
    </w:p>
  </w:footnote>
  <w:footnote w:id="84">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sz w:val="24"/>
          <w:szCs w:val="24"/>
          <w:rtl/>
        </w:rPr>
        <w:t xml:space="preserve">أبو حيان التوحيدي، </w:t>
      </w:r>
      <w:r w:rsidRPr="00290D18">
        <w:rPr>
          <w:rFonts w:ascii="Simplified Arabic" w:hAnsi="Simplified Arabic" w:cs="Simplified Arabic"/>
          <w:b/>
          <w:bCs/>
          <w:sz w:val="24"/>
          <w:szCs w:val="24"/>
          <w:rtl/>
        </w:rPr>
        <w:t>الإمتاع والمؤانسة</w:t>
      </w:r>
      <w:r w:rsidRPr="00290D18">
        <w:rPr>
          <w:rFonts w:ascii="Simplified Arabic" w:hAnsi="Simplified Arabic" w:cs="Simplified Arabic"/>
          <w:sz w:val="24"/>
          <w:szCs w:val="24"/>
          <w:rtl/>
        </w:rPr>
        <w:t>، ج 1، ص 110.</w:t>
      </w:r>
    </w:p>
  </w:footnote>
  <w:footnote w:id="85">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 1، ص 113.</w:t>
      </w:r>
    </w:p>
  </w:footnote>
  <w:footnote w:id="86">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sz w:val="24"/>
          <w:szCs w:val="24"/>
          <w:rtl/>
        </w:rPr>
        <w:t xml:space="preserve">أبو حيان التوحيدي، </w:t>
      </w:r>
      <w:r w:rsidRPr="00290D18">
        <w:rPr>
          <w:rFonts w:ascii="Simplified Arabic" w:hAnsi="Simplified Arabic" w:cs="Simplified Arabic"/>
          <w:b/>
          <w:bCs/>
          <w:sz w:val="24"/>
          <w:szCs w:val="24"/>
          <w:rtl/>
        </w:rPr>
        <w:t>الإمتاع والمؤانسة</w:t>
      </w:r>
      <w:r w:rsidRPr="00290D18">
        <w:rPr>
          <w:rFonts w:ascii="Simplified Arabic" w:hAnsi="Simplified Arabic" w:cs="Simplified Arabic"/>
          <w:sz w:val="24"/>
          <w:szCs w:val="24"/>
          <w:rtl/>
        </w:rPr>
        <w:t>، ج 1، ص 123.</w:t>
      </w:r>
    </w:p>
  </w:footnote>
  <w:footnote w:id="87">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ج1، ص 119.</w:t>
      </w:r>
    </w:p>
  </w:footnote>
  <w:footnote w:id="88">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ج1، ص 116.</w:t>
      </w:r>
    </w:p>
  </w:footnote>
  <w:footnote w:id="89">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ج1، ص 118.</w:t>
      </w:r>
    </w:p>
  </w:footnote>
  <w:footnote w:id="90">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ج1، ص 126.</w:t>
      </w:r>
    </w:p>
  </w:footnote>
  <w:footnote w:id="91">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المرجع نفسه</w:t>
      </w:r>
      <w:r w:rsidRPr="00290D18">
        <w:rPr>
          <w:rFonts w:ascii="Simplified Arabic" w:hAnsi="Simplified Arabic" w:cs="Simplified Arabic"/>
          <w:sz w:val="24"/>
          <w:szCs w:val="24"/>
          <w:rtl/>
        </w:rPr>
        <w:t>، ج1، ص 113.</w:t>
      </w:r>
    </w:p>
  </w:footnote>
  <w:footnote w:id="92">
    <w:p w:rsidR="004F75E3" w:rsidRPr="00290D18" w:rsidRDefault="004F75E3" w:rsidP="004F75E3">
      <w:pPr>
        <w:pStyle w:val="Notedebasdepage"/>
        <w:bidi/>
        <w:jc w:val="both"/>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منطق العرب</w:t>
      </w:r>
      <w:r w:rsidRPr="00290D18">
        <w:rPr>
          <w:rFonts w:ascii="Simplified Arabic" w:hAnsi="Simplified Arabic" w:cs="Simplified Arabic"/>
          <w:sz w:val="24"/>
          <w:szCs w:val="24"/>
          <w:rtl/>
        </w:rPr>
        <w:t>، مرجع سابق، ص 19-35.</w:t>
      </w:r>
    </w:p>
  </w:footnote>
  <w:footnote w:id="93">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اللسان والميزان</w:t>
      </w:r>
      <w:r w:rsidRPr="00290D18">
        <w:rPr>
          <w:rFonts w:ascii="Simplified Arabic" w:hAnsi="Simplified Arabic" w:cs="Simplified Arabic"/>
          <w:sz w:val="24"/>
          <w:szCs w:val="24"/>
          <w:rtl/>
        </w:rPr>
        <w:t>، مرجع سابق،  ص 88.</w:t>
      </w:r>
    </w:p>
  </w:footnote>
  <w:footnote w:id="94">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كشاف مصطلحات الفنون والعلوم</w:t>
      </w:r>
      <w:r w:rsidRPr="00290D18">
        <w:rPr>
          <w:rFonts w:ascii="Simplified Arabic" w:hAnsi="Simplified Arabic" w:cs="Simplified Arabic"/>
          <w:sz w:val="24"/>
          <w:szCs w:val="24"/>
          <w:rtl/>
        </w:rPr>
        <w:t>، مرجع سابق، ج 1، ص 35.</w:t>
      </w:r>
    </w:p>
  </w:footnote>
  <w:footnote w:id="95">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sz w:val="24"/>
          <w:szCs w:val="24"/>
          <w:rtl/>
        </w:rPr>
        <w:t xml:space="preserve">ابن سينا، </w:t>
      </w:r>
      <w:r w:rsidRPr="00290D18">
        <w:rPr>
          <w:rFonts w:ascii="Simplified Arabic" w:hAnsi="Simplified Arabic" w:cs="Simplified Arabic"/>
          <w:b/>
          <w:bCs/>
          <w:sz w:val="24"/>
          <w:szCs w:val="24"/>
          <w:rtl/>
        </w:rPr>
        <w:t>الإشارات والتنبيهات</w:t>
      </w:r>
      <w:r w:rsidRPr="00290D18">
        <w:rPr>
          <w:rFonts w:ascii="Simplified Arabic" w:hAnsi="Simplified Arabic" w:cs="Simplified Arabic"/>
          <w:sz w:val="24"/>
          <w:szCs w:val="24"/>
          <w:rtl/>
        </w:rPr>
        <w:t>، شرح نصير الطوسي، القاهرة، دار المعارف، 1960، القسم الأول، ص 177.</w:t>
      </w:r>
    </w:p>
  </w:footnote>
  <w:footnote w:id="96">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اللسان والميزان</w:t>
      </w:r>
      <w:r w:rsidRPr="00290D18">
        <w:rPr>
          <w:rFonts w:ascii="Simplified Arabic" w:hAnsi="Simplified Arabic" w:cs="Simplified Arabic"/>
          <w:sz w:val="24"/>
          <w:szCs w:val="24"/>
          <w:rtl/>
        </w:rPr>
        <w:t>، مرجع سابق، ص 87.</w:t>
      </w:r>
    </w:p>
  </w:footnote>
  <w:footnote w:id="97">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sz w:val="24"/>
          <w:szCs w:val="24"/>
          <w:rtl/>
        </w:rPr>
        <w:t xml:space="preserve">أبو البقاء الكفوي، </w:t>
      </w:r>
      <w:r w:rsidRPr="00290D18">
        <w:rPr>
          <w:rFonts w:ascii="Simplified Arabic" w:hAnsi="Simplified Arabic" w:cs="Simplified Arabic"/>
          <w:b/>
          <w:bCs/>
          <w:sz w:val="24"/>
          <w:szCs w:val="24"/>
          <w:rtl/>
        </w:rPr>
        <w:t>الكليات</w:t>
      </w:r>
      <w:r w:rsidRPr="00290D18">
        <w:rPr>
          <w:rFonts w:ascii="Simplified Arabic" w:hAnsi="Simplified Arabic" w:cs="Simplified Arabic"/>
          <w:sz w:val="24"/>
          <w:szCs w:val="24"/>
          <w:rtl/>
        </w:rPr>
        <w:t>، بيروت، مؤسسة الرسالة، ط 2، 1993، ص 796.</w:t>
      </w:r>
    </w:p>
  </w:footnote>
  <w:footnote w:id="98">
    <w:p w:rsidR="004F75E3" w:rsidRPr="00290D18" w:rsidRDefault="004F75E3" w:rsidP="00A01C6E">
      <w:pPr>
        <w:pStyle w:val="Notedebasdepage"/>
        <w:bidi/>
        <w:rPr>
          <w:rFonts w:ascii="Simplified Arabic" w:hAnsi="Simplified Arabic" w:cs="Simplified Arabic"/>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اللسان والميزان</w:t>
      </w:r>
      <w:r w:rsidRPr="00290D18">
        <w:rPr>
          <w:rFonts w:ascii="Simplified Arabic" w:hAnsi="Simplified Arabic" w:cs="Simplified Arabic"/>
          <w:sz w:val="24"/>
          <w:szCs w:val="24"/>
          <w:rtl/>
        </w:rPr>
        <w:t>، مرجع سابق، ص 88.</w:t>
      </w:r>
    </w:p>
  </w:footnote>
  <w:footnote w:id="99">
    <w:p w:rsidR="004F75E3" w:rsidRPr="004F75E3" w:rsidRDefault="004F75E3" w:rsidP="004F75E3">
      <w:pPr>
        <w:pStyle w:val="Notedebasdepage"/>
        <w:bidi/>
        <w:jc w:val="both"/>
        <w:rPr>
          <w:sz w:val="24"/>
          <w:szCs w:val="24"/>
          <w:rtl/>
          <w:lang w:bidi="ar-DZ"/>
        </w:rPr>
      </w:pPr>
      <w:r w:rsidRPr="00290D18">
        <w:rPr>
          <w:rStyle w:val="Appelnotedebasdep"/>
          <w:rFonts w:ascii="Simplified Arabic" w:hAnsi="Simplified Arabic" w:cs="Simplified Arabic"/>
          <w:sz w:val="24"/>
          <w:szCs w:val="24"/>
        </w:rPr>
        <w:footnoteRef/>
      </w:r>
      <w:r w:rsidRPr="00290D18">
        <w:rPr>
          <w:rFonts w:ascii="Simplified Arabic" w:hAnsi="Simplified Arabic" w:cs="Simplified Arabic"/>
          <w:b/>
          <w:bCs/>
          <w:sz w:val="24"/>
          <w:szCs w:val="24"/>
          <w:rtl/>
        </w:rPr>
        <w:t>الرد على المنطقيين</w:t>
      </w:r>
      <w:r w:rsidRPr="00290D18">
        <w:rPr>
          <w:rFonts w:ascii="Simplified Arabic" w:hAnsi="Simplified Arabic" w:cs="Simplified Arabic"/>
          <w:sz w:val="24"/>
          <w:szCs w:val="24"/>
          <w:rtl/>
        </w:rPr>
        <w:t>، مرجع سابق، ج 2، ص 252 (؟).</w:t>
      </w:r>
    </w:p>
  </w:footnote>
  <w:footnote w:id="100">
    <w:p w:rsidR="004F75E3" w:rsidRPr="00DC7130" w:rsidRDefault="004F75E3" w:rsidP="004F75E3">
      <w:pPr>
        <w:pStyle w:val="Notedebasdepage"/>
        <w:bidi/>
        <w:jc w:val="both"/>
        <w:rPr>
          <w:rFonts w:ascii="Simplified Arabic" w:hAnsi="Simplified Arabic" w:cs="Simplified Arabic"/>
          <w:sz w:val="24"/>
          <w:szCs w:val="24"/>
          <w:rtl/>
          <w:lang w:bidi="ar-DZ"/>
        </w:rPr>
      </w:pPr>
      <w:r w:rsidRPr="00DC7130">
        <w:rPr>
          <w:rStyle w:val="Appelnotedebasdep"/>
          <w:rFonts w:ascii="Simplified Arabic" w:hAnsi="Simplified Arabic" w:cs="Simplified Arabic"/>
          <w:sz w:val="24"/>
          <w:szCs w:val="24"/>
        </w:rPr>
        <w:footnoteRef/>
      </w:r>
      <w:r w:rsidRPr="00DC7130">
        <w:rPr>
          <w:rFonts w:ascii="Simplified Arabic" w:hAnsi="Simplified Arabic" w:cs="Simplified Arabic"/>
          <w:b/>
          <w:bCs/>
          <w:sz w:val="24"/>
          <w:szCs w:val="24"/>
          <w:rtl/>
        </w:rPr>
        <w:t>المرجع نفسه</w:t>
      </w:r>
      <w:r w:rsidRPr="00DC7130">
        <w:rPr>
          <w:rFonts w:ascii="Simplified Arabic" w:hAnsi="Simplified Arabic" w:cs="Simplified Arabic"/>
          <w:sz w:val="24"/>
          <w:szCs w:val="24"/>
          <w:rtl/>
        </w:rPr>
        <w:t>، ج 2، ص 165 (؟).</w:t>
      </w:r>
    </w:p>
  </w:footnote>
  <w:footnote w:id="101">
    <w:p w:rsidR="004F75E3" w:rsidRPr="00DC7130" w:rsidRDefault="004F75E3" w:rsidP="004F75E3">
      <w:pPr>
        <w:pStyle w:val="Notedebasdepage"/>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sz w:val="24"/>
          <w:szCs w:val="24"/>
          <w:lang w:bidi="ar-DZ"/>
        </w:rPr>
        <w:t>Gentzen Gerhard</w:t>
      </w:r>
      <w:r w:rsidRPr="00DC7130">
        <w:rPr>
          <w:rFonts w:asciiTheme="majorBidi" w:hAnsiTheme="majorBidi" w:cstheme="majorBidi"/>
          <w:b/>
          <w:bCs/>
          <w:sz w:val="24"/>
          <w:szCs w:val="24"/>
          <w:lang w:bidi="ar-DZ"/>
        </w:rPr>
        <w:t>, recherch sur la déduction logique</w:t>
      </w:r>
      <w:r w:rsidRPr="00DC7130">
        <w:rPr>
          <w:rFonts w:asciiTheme="majorBidi" w:hAnsiTheme="majorBidi" w:cstheme="majorBidi"/>
          <w:sz w:val="24"/>
          <w:szCs w:val="24"/>
          <w:lang w:bidi="ar-DZ"/>
        </w:rPr>
        <w:t xml:space="preserve">, traduction R. feys et J.Ladriere, P.U.F Paris. 1955, p45 et Moeshler et Auchtin, </w:t>
      </w:r>
      <w:r w:rsidRPr="00DC7130">
        <w:rPr>
          <w:rFonts w:asciiTheme="majorBidi" w:hAnsiTheme="majorBidi" w:cstheme="majorBidi"/>
          <w:b/>
          <w:bCs/>
          <w:sz w:val="24"/>
          <w:szCs w:val="24"/>
          <w:lang w:bidi="ar-DZ"/>
        </w:rPr>
        <w:t>introduction a la linguistique contenporaine,</w:t>
      </w:r>
      <w:r w:rsidRPr="00DC7130">
        <w:rPr>
          <w:rFonts w:asciiTheme="majorBidi" w:hAnsiTheme="majorBidi" w:cstheme="majorBidi"/>
          <w:sz w:val="24"/>
          <w:szCs w:val="24"/>
          <w:lang w:bidi="ar-DZ"/>
        </w:rPr>
        <w:t xml:space="preserve"> op cite, p 157.</w:t>
      </w:r>
    </w:p>
  </w:footnote>
  <w:footnote w:id="102">
    <w:p w:rsidR="004F75E3" w:rsidRPr="004F75E3" w:rsidRDefault="004F75E3" w:rsidP="004F75E3">
      <w:pPr>
        <w:pStyle w:val="Notedebasdepage"/>
        <w:jc w:val="both"/>
        <w:rPr>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b/>
          <w:bCs/>
          <w:sz w:val="24"/>
          <w:szCs w:val="24"/>
        </w:rPr>
        <w:t>Introduction a la lingustiquecontenporaine</w:t>
      </w:r>
      <w:r w:rsidRPr="00DC7130">
        <w:rPr>
          <w:rFonts w:asciiTheme="majorBidi" w:hAnsiTheme="majorBidi" w:cstheme="majorBidi"/>
          <w:sz w:val="24"/>
          <w:szCs w:val="24"/>
        </w:rPr>
        <w:t>, op cit, p 158.</w:t>
      </w:r>
    </w:p>
  </w:footnote>
  <w:footnote w:id="103">
    <w:p w:rsidR="004F75E3" w:rsidRPr="00DC7130" w:rsidRDefault="004F75E3" w:rsidP="004F75E3">
      <w:pPr>
        <w:pStyle w:val="Notedebasdepage"/>
        <w:bidi/>
        <w:jc w:val="both"/>
        <w:rPr>
          <w:rFonts w:ascii="Simplified Arabic" w:hAnsi="Simplified Arabic" w:cs="Simplified Arabic"/>
          <w:sz w:val="24"/>
          <w:szCs w:val="24"/>
          <w:rtl/>
          <w:lang w:bidi="ar-DZ"/>
        </w:rPr>
      </w:pPr>
      <w:r w:rsidRPr="00DC7130">
        <w:rPr>
          <w:rStyle w:val="Appelnotedebasdep"/>
          <w:rFonts w:ascii="Simplified Arabic" w:hAnsi="Simplified Arabic" w:cs="Simplified Arabic"/>
          <w:sz w:val="24"/>
          <w:szCs w:val="24"/>
        </w:rPr>
        <w:footnoteRef/>
      </w:r>
      <w:r w:rsidRPr="00DC7130">
        <w:rPr>
          <w:rFonts w:ascii="Simplified Arabic" w:hAnsi="Simplified Arabic" w:cs="Simplified Arabic"/>
          <w:b/>
          <w:bCs/>
          <w:sz w:val="24"/>
          <w:szCs w:val="24"/>
          <w:rtl/>
        </w:rPr>
        <w:t>اللسان والميزان</w:t>
      </w:r>
      <w:r w:rsidRPr="00DC7130">
        <w:rPr>
          <w:rFonts w:ascii="Simplified Arabic" w:hAnsi="Simplified Arabic" w:cs="Simplified Arabic"/>
          <w:sz w:val="24"/>
          <w:szCs w:val="24"/>
          <w:rtl/>
        </w:rPr>
        <w:t>، مرجع سابق، ص 40.</w:t>
      </w:r>
    </w:p>
  </w:footnote>
  <w:footnote w:id="104">
    <w:p w:rsidR="004F75E3" w:rsidRPr="00DC7130" w:rsidRDefault="004F75E3" w:rsidP="004F75E3">
      <w:pPr>
        <w:pStyle w:val="Notedebasdepage"/>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b/>
          <w:bCs/>
          <w:sz w:val="24"/>
          <w:szCs w:val="24"/>
          <w:lang w:bidi="ar-DZ"/>
        </w:rPr>
        <w:t>introductiona la linguitiquecontenparaine</w:t>
      </w:r>
      <w:r w:rsidRPr="00DC7130">
        <w:rPr>
          <w:rFonts w:asciiTheme="majorBidi" w:hAnsiTheme="majorBidi" w:cstheme="majorBidi"/>
          <w:sz w:val="24"/>
          <w:szCs w:val="24"/>
          <w:lang w:bidi="ar-DZ"/>
        </w:rPr>
        <w:t>, op cit, p107 – 108.</w:t>
      </w:r>
    </w:p>
  </w:footnote>
  <w:footnote w:id="105">
    <w:p w:rsidR="004F75E3" w:rsidRPr="00DC7130" w:rsidRDefault="004F75E3" w:rsidP="004F75E3">
      <w:pPr>
        <w:pStyle w:val="Notedebasdepage"/>
        <w:bidi/>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b/>
          <w:bCs/>
          <w:sz w:val="24"/>
          <w:szCs w:val="24"/>
          <w:rtl/>
        </w:rPr>
        <w:t>اللسان والميزان،</w:t>
      </w:r>
      <w:r w:rsidRPr="00DC7130">
        <w:rPr>
          <w:rFonts w:asciiTheme="majorBidi" w:hAnsiTheme="majorBidi" w:cstheme="majorBidi"/>
          <w:sz w:val="24"/>
          <w:szCs w:val="24"/>
          <w:rtl/>
        </w:rPr>
        <w:t xml:space="preserve"> مرجع سابق، ص 90.</w:t>
      </w:r>
    </w:p>
  </w:footnote>
  <w:footnote w:id="106">
    <w:p w:rsidR="004F75E3" w:rsidRPr="00DC7130" w:rsidRDefault="004F75E3" w:rsidP="004F75E3">
      <w:pPr>
        <w:pStyle w:val="Notedebasdepage"/>
        <w:bidi/>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b/>
          <w:bCs/>
          <w:sz w:val="24"/>
          <w:szCs w:val="24"/>
          <w:rtl/>
        </w:rPr>
        <w:t>المرجع نفسه</w:t>
      </w:r>
      <w:r w:rsidRPr="00DC7130">
        <w:rPr>
          <w:rFonts w:asciiTheme="majorBidi" w:hAnsiTheme="majorBidi" w:cstheme="majorBidi"/>
          <w:sz w:val="24"/>
          <w:szCs w:val="24"/>
          <w:rtl/>
        </w:rPr>
        <w:t>، ص 101.</w:t>
      </w:r>
    </w:p>
  </w:footnote>
  <w:footnote w:id="107">
    <w:p w:rsidR="004F75E3" w:rsidRPr="00DC7130" w:rsidRDefault="004F75E3" w:rsidP="004F75E3">
      <w:pPr>
        <w:pStyle w:val="Notedebasdepage"/>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sz w:val="24"/>
          <w:szCs w:val="24"/>
          <w:lang w:bidi="ar-DZ"/>
        </w:rPr>
        <w:t xml:space="preserve">Françoise armengaud, </w:t>
      </w:r>
      <w:r w:rsidRPr="00DC7130">
        <w:rPr>
          <w:rFonts w:asciiTheme="majorBidi" w:hAnsiTheme="majorBidi" w:cstheme="majorBidi"/>
          <w:b/>
          <w:bCs/>
          <w:sz w:val="24"/>
          <w:szCs w:val="24"/>
          <w:lang w:bidi="ar-DZ"/>
        </w:rPr>
        <w:t>la pragmatique</w:t>
      </w:r>
      <w:r w:rsidRPr="00DC7130">
        <w:rPr>
          <w:rFonts w:asciiTheme="majorBidi" w:hAnsiTheme="majorBidi" w:cstheme="majorBidi"/>
          <w:sz w:val="24"/>
          <w:szCs w:val="24"/>
          <w:lang w:bidi="ar-DZ"/>
        </w:rPr>
        <w:t>, paris, P.U.F que sais je?, p23-24.</w:t>
      </w:r>
    </w:p>
  </w:footnote>
  <w:footnote w:id="108">
    <w:p w:rsidR="004F75E3" w:rsidRPr="00DC7130" w:rsidRDefault="004F75E3" w:rsidP="004F75E3">
      <w:pPr>
        <w:pStyle w:val="Notedebasdepage"/>
        <w:jc w:val="both"/>
        <w:rPr>
          <w:rFonts w:asciiTheme="majorBidi" w:hAnsiTheme="majorBidi" w:cstheme="majorBidi"/>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sz w:val="24"/>
          <w:szCs w:val="24"/>
          <w:lang w:bidi="ar-DZ"/>
        </w:rPr>
        <w:t xml:space="preserve">Michel mayer, </w:t>
      </w:r>
      <w:r w:rsidRPr="00DC7130">
        <w:rPr>
          <w:rFonts w:asciiTheme="majorBidi" w:hAnsiTheme="majorBidi" w:cstheme="majorBidi"/>
          <w:b/>
          <w:bCs/>
          <w:sz w:val="24"/>
          <w:szCs w:val="24"/>
          <w:lang w:bidi="ar-DZ"/>
        </w:rPr>
        <w:t>logique, langage, et argumentation</w:t>
      </w:r>
      <w:r w:rsidRPr="00DC7130">
        <w:rPr>
          <w:rFonts w:asciiTheme="majorBidi" w:hAnsiTheme="majorBidi" w:cstheme="majorBidi"/>
          <w:sz w:val="24"/>
          <w:szCs w:val="24"/>
          <w:lang w:bidi="ar-DZ"/>
        </w:rPr>
        <w:t>, Paris, classique Hachette, 1982, p 7.</w:t>
      </w:r>
    </w:p>
  </w:footnote>
  <w:footnote w:id="109">
    <w:p w:rsidR="004F75E3" w:rsidRPr="004F75E3" w:rsidRDefault="004F75E3" w:rsidP="004F75E3">
      <w:pPr>
        <w:pStyle w:val="Notedebasdepage"/>
        <w:jc w:val="both"/>
        <w:rPr>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b/>
          <w:bCs/>
          <w:sz w:val="24"/>
          <w:szCs w:val="24"/>
          <w:lang w:bidi="ar-DZ"/>
        </w:rPr>
        <w:t>Introduction a la linguistique contenporaine</w:t>
      </w:r>
      <w:r w:rsidRPr="00DC7130">
        <w:rPr>
          <w:rFonts w:asciiTheme="majorBidi" w:hAnsiTheme="majorBidi" w:cstheme="majorBidi"/>
          <w:sz w:val="24"/>
          <w:szCs w:val="24"/>
          <w:lang w:bidi="ar-DZ"/>
        </w:rPr>
        <w:t>, op cit, p 128, et Paul Grice</w:t>
      </w:r>
      <w:r w:rsidRPr="00DC7130">
        <w:rPr>
          <w:rFonts w:asciiTheme="majorBidi" w:hAnsiTheme="majorBidi" w:cstheme="majorBidi"/>
          <w:b/>
          <w:bCs/>
          <w:sz w:val="24"/>
          <w:szCs w:val="24"/>
          <w:lang w:bidi="ar-DZ"/>
        </w:rPr>
        <w:t>, logique et conversation</w:t>
      </w:r>
      <w:r w:rsidRPr="00DC7130">
        <w:rPr>
          <w:rFonts w:asciiTheme="majorBidi" w:hAnsiTheme="majorBidi" w:cstheme="majorBidi"/>
          <w:sz w:val="24"/>
          <w:szCs w:val="24"/>
          <w:lang w:bidi="ar-DZ"/>
        </w:rPr>
        <w:t>, articles in  revue communication, N30, paris, seuil, 1978, p58.</w:t>
      </w:r>
    </w:p>
  </w:footnote>
  <w:footnote w:id="110">
    <w:p w:rsidR="004F75E3" w:rsidRPr="004F75E3" w:rsidRDefault="004F75E3" w:rsidP="004F75E3">
      <w:pPr>
        <w:pStyle w:val="Notedebasdepage"/>
        <w:jc w:val="both"/>
        <w:rPr>
          <w:sz w:val="24"/>
          <w:szCs w:val="24"/>
          <w:rtl/>
          <w:lang w:bidi="ar-DZ"/>
        </w:rPr>
      </w:pPr>
      <w:r w:rsidRPr="004F75E3">
        <w:rPr>
          <w:rStyle w:val="Appelnotedebasdep"/>
          <w:sz w:val="24"/>
          <w:szCs w:val="24"/>
        </w:rPr>
        <w:footnoteRef/>
      </w:r>
      <w:r w:rsidRPr="004F75E3">
        <w:rPr>
          <w:b/>
          <w:bCs/>
          <w:sz w:val="24"/>
          <w:szCs w:val="24"/>
          <w:lang w:bidi="ar-DZ"/>
        </w:rPr>
        <w:t>la pragmatique</w:t>
      </w:r>
      <w:r w:rsidRPr="004F75E3">
        <w:rPr>
          <w:sz w:val="24"/>
          <w:szCs w:val="24"/>
          <w:lang w:bidi="ar-DZ"/>
        </w:rPr>
        <w:t>, op cit, p41.</w:t>
      </w:r>
    </w:p>
  </w:footnote>
  <w:footnote w:id="111">
    <w:p w:rsidR="004F75E3" w:rsidRPr="00DC7130" w:rsidRDefault="004F75E3" w:rsidP="004F75E3">
      <w:pPr>
        <w:pStyle w:val="Notedebasdepage"/>
        <w:bidi/>
        <w:jc w:val="both"/>
        <w:rPr>
          <w:rFonts w:ascii="Simplified Arabic" w:hAnsi="Simplified Arabic" w:cs="Simplified Arabic"/>
          <w:sz w:val="24"/>
          <w:szCs w:val="24"/>
          <w:rtl/>
          <w:lang w:bidi="ar-DZ"/>
        </w:rPr>
      </w:pPr>
      <w:r w:rsidRPr="00DC7130">
        <w:rPr>
          <w:rStyle w:val="Appelnotedebasdep"/>
          <w:rFonts w:ascii="Simplified Arabic" w:hAnsi="Simplified Arabic" w:cs="Simplified Arabic"/>
          <w:sz w:val="24"/>
          <w:szCs w:val="24"/>
        </w:rPr>
        <w:footnoteRef/>
      </w:r>
      <w:r w:rsidRPr="00DC7130">
        <w:rPr>
          <w:rFonts w:ascii="Simplified Arabic" w:hAnsi="Simplified Arabic" w:cs="Simplified Arabic"/>
          <w:b/>
          <w:bCs/>
          <w:sz w:val="24"/>
          <w:szCs w:val="24"/>
          <w:rtl/>
        </w:rPr>
        <w:t>فقه الفلسفة</w:t>
      </w:r>
      <w:r w:rsidRPr="00DC7130">
        <w:rPr>
          <w:rFonts w:ascii="Simplified Arabic" w:hAnsi="Simplified Arabic" w:cs="Simplified Arabic"/>
          <w:sz w:val="24"/>
          <w:szCs w:val="24"/>
          <w:rtl/>
        </w:rPr>
        <w:t>، ج 1، ص 34-35.</w:t>
      </w:r>
    </w:p>
  </w:footnote>
  <w:footnote w:id="112">
    <w:p w:rsidR="004F75E3" w:rsidRPr="00DC7130" w:rsidRDefault="004F75E3" w:rsidP="004F75E3">
      <w:pPr>
        <w:pStyle w:val="Notedebasdepage"/>
        <w:jc w:val="both"/>
        <w:rPr>
          <w:rFonts w:asciiTheme="majorBidi" w:hAnsiTheme="majorBidi" w:cstheme="majorBidi"/>
          <w:sz w:val="24"/>
          <w:szCs w:val="24"/>
          <w:rtl/>
          <w:lang w:bidi="ar-DZ"/>
        </w:rPr>
      </w:pPr>
      <w:r w:rsidRPr="00DC7130">
        <w:rPr>
          <w:rStyle w:val="Appelnotedebasdep"/>
          <w:rFonts w:asciiTheme="majorBidi" w:hAnsiTheme="majorBidi" w:cstheme="majorBidi"/>
          <w:sz w:val="24"/>
          <w:szCs w:val="24"/>
        </w:rPr>
        <w:footnoteRef/>
      </w:r>
      <w:r w:rsidRPr="00DC7130">
        <w:rPr>
          <w:rFonts w:asciiTheme="majorBidi" w:hAnsiTheme="majorBidi" w:cstheme="majorBidi"/>
          <w:sz w:val="24"/>
          <w:szCs w:val="24"/>
          <w:lang w:bidi="ar-DZ"/>
        </w:rPr>
        <w:t xml:space="preserve">Paul Grice, </w:t>
      </w:r>
      <w:r w:rsidRPr="00DC7130">
        <w:rPr>
          <w:rFonts w:asciiTheme="majorBidi" w:hAnsiTheme="majorBidi" w:cstheme="majorBidi"/>
          <w:b/>
          <w:bCs/>
          <w:sz w:val="24"/>
          <w:szCs w:val="24"/>
          <w:lang w:bidi="ar-DZ"/>
        </w:rPr>
        <w:t>logique et conversation</w:t>
      </w:r>
      <w:r w:rsidRPr="00DC7130">
        <w:rPr>
          <w:rFonts w:asciiTheme="majorBidi" w:hAnsiTheme="majorBidi" w:cstheme="majorBidi"/>
          <w:sz w:val="24"/>
          <w:szCs w:val="24"/>
          <w:lang w:bidi="ar-DZ"/>
        </w:rPr>
        <w:t>, op cit, p 58.</w:t>
      </w:r>
    </w:p>
  </w:footnote>
  <w:footnote w:id="113">
    <w:p w:rsidR="004F75E3" w:rsidRPr="007108BD" w:rsidRDefault="004F75E3" w:rsidP="004F75E3">
      <w:pPr>
        <w:pStyle w:val="Notedebasdepage"/>
        <w:jc w:val="both"/>
        <w:rPr>
          <w:rFonts w:asciiTheme="majorBidi" w:hAnsiTheme="majorBidi" w:cstheme="majorBidi"/>
          <w:sz w:val="24"/>
          <w:szCs w:val="24"/>
          <w:rtl/>
          <w:lang w:bidi="ar-DZ"/>
        </w:rPr>
      </w:pPr>
      <w:r w:rsidRPr="007108BD">
        <w:rPr>
          <w:rStyle w:val="Appelnotedebasdep"/>
          <w:rFonts w:asciiTheme="majorBidi" w:hAnsiTheme="majorBidi" w:cstheme="majorBidi"/>
          <w:sz w:val="24"/>
          <w:szCs w:val="24"/>
        </w:rPr>
        <w:footnoteRef/>
      </w:r>
      <w:r w:rsidRPr="007108BD">
        <w:rPr>
          <w:rFonts w:asciiTheme="majorBidi" w:hAnsiTheme="majorBidi" w:cstheme="majorBidi"/>
          <w:b/>
          <w:bCs/>
          <w:sz w:val="24"/>
          <w:szCs w:val="24"/>
          <w:lang w:bidi="ar-DZ"/>
        </w:rPr>
        <w:t>introduction á la linguistique contemporaine</w:t>
      </w:r>
      <w:r w:rsidRPr="007108BD">
        <w:rPr>
          <w:rFonts w:asciiTheme="majorBidi" w:hAnsiTheme="majorBidi" w:cstheme="majorBidi"/>
          <w:sz w:val="24"/>
          <w:szCs w:val="24"/>
          <w:lang w:bidi="ar-DZ"/>
        </w:rPr>
        <w:t>, op cit, p 135.</w:t>
      </w:r>
    </w:p>
  </w:footnote>
  <w:footnote w:id="114">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sz w:val="24"/>
          <w:szCs w:val="24"/>
          <w:rtl/>
        </w:rPr>
        <w:t>مثال ذلك: كتابات عبدالله العروي، والجابري وعلي حرب وجورج طرابيشي وتيزبني وصادق جلال العظم وغيرهم.</w:t>
      </w:r>
    </w:p>
  </w:footnote>
  <w:footnote w:id="115">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اللسان والميزان</w:t>
      </w:r>
      <w:r w:rsidRPr="007108BD">
        <w:rPr>
          <w:rFonts w:ascii="Simplified Arabic" w:hAnsi="Simplified Arabic" w:cs="Simplified Arabic"/>
          <w:sz w:val="24"/>
          <w:szCs w:val="24"/>
          <w:rtl/>
        </w:rPr>
        <w:t>، مرجع سابق، ص 17.</w:t>
      </w:r>
    </w:p>
  </w:footnote>
  <w:footnote w:id="116">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المرجع نفسه،</w:t>
      </w:r>
      <w:r w:rsidRPr="007108BD">
        <w:rPr>
          <w:rFonts w:ascii="Simplified Arabic" w:hAnsi="Simplified Arabic" w:cs="Simplified Arabic"/>
          <w:sz w:val="24"/>
          <w:szCs w:val="24"/>
          <w:rtl/>
        </w:rPr>
        <w:t xml:space="preserve"> الصفحة نفسها.</w:t>
      </w:r>
    </w:p>
  </w:footnote>
  <w:footnote w:id="117">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المرجع نفسه،</w:t>
      </w:r>
      <w:r w:rsidRPr="007108BD">
        <w:rPr>
          <w:rFonts w:ascii="Simplified Arabic" w:hAnsi="Simplified Arabic" w:cs="Simplified Arabic"/>
          <w:sz w:val="24"/>
          <w:szCs w:val="24"/>
          <w:rtl/>
        </w:rPr>
        <w:t xml:space="preserve"> ص 18</w:t>
      </w:r>
    </w:p>
  </w:footnote>
  <w:footnote w:id="118">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كشاف إصطلاحات الفنون والعلوم</w:t>
      </w:r>
      <w:r w:rsidRPr="007108BD">
        <w:rPr>
          <w:rFonts w:ascii="Simplified Arabic" w:hAnsi="Simplified Arabic" w:cs="Simplified Arabic"/>
          <w:sz w:val="24"/>
          <w:szCs w:val="24"/>
          <w:rtl/>
        </w:rPr>
        <w:t>، مرجع سابق، ج 1، ص 749.</w:t>
      </w:r>
    </w:p>
  </w:footnote>
  <w:footnote w:id="119">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الحق العربي في الاختلاف الفلسفي</w:t>
      </w:r>
      <w:r w:rsidRPr="007108BD">
        <w:rPr>
          <w:rFonts w:ascii="Simplified Arabic" w:hAnsi="Simplified Arabic" w:cs="Simplified Arabic"/>
          <w:sz w:val="24"/>
          <w:szCs w:val="24"/>
          <w:rtl/>
        </w:rPr>
        <w:t>، مرجع سابق، ص 131.</w:t>
      </w:r>
    </w:p>
  </w:footnote>
  <w:footnote w:id="120">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فقه الفلسفة</w:t>
      </w:r>
      <w:r w:rsidRPr="007108BD">
        <w:rPr>
          <w:rFonts w:ascii="Simplified Arabic" w:hAnsi="Simplified Arabic" w:cs="Simplified Arabic"/>
          <w:sz w:val="24"/>
          <w:szCs w:val="24"/>
          <w:rtl/>
        </w:rPr>
        <w:t>، مرجع سابق، ج 2، ص 95.</w:t>
      </w:r>
    </w:p>
  </w:footnote>
  <w:footnote w:id="121">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 xml:space="preserve">المرجع نفسه، </w:t>
      </w:r>
      <w:r w:rsidRPr="007108BD">
        <w:rPr>
          <w:rFonts w:ascii="Simplified Arabic" w:hAnsi="Simplified Arabic" w:cs="Simplified Arabic"/>
          <w:sz w:val="24"/>
          <w:szCs w:val="24"/>
          <w:rtl/>
        </w:rPr>
        <w:t>ص 95.</w:t>
      </w:r>
    </w:p>
  </w:footnote>
  <w:footnote w:id="122">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sz w:val="24"/>
          <w:szCs w:val="24"/>
          <w:rtl/>
        </w:rPr>
        <w:t>لقد جمع أبو حامد بين علوم الآلة وعلوم المقاصد، حيث ألّف كتباً في المنطق والأصول إلى جانب تأليفه كتباً في الفلسفة والتصوف وعلم الكلام.</w:t>
      </w:r>
    </w:p>
  </w:footnote>
  <w:footnote w:id="123">
    <w:p w:rsidR="004F75E3" w:rsidRPr="007108BD" w:rsidRDefault="004F75E3" w:rsidP="004F75E3">
      <w:pPr>
        <w:pStyle w:val="Notedebasdepage"/>
        <w:bidi/>
        <w:jc w:val="both"/>
        <w:rPr>
          <w:rFonts w:ascii="Simplified Arabic" w:hAnsi="Simplified Arabic" w:cs="Simplified Arabic"/>
          <w:sz w:val="24"/>
          <w:szCs w:val="24"/>
          <w:rtl/>
          <w:lang w:bidi="ar-DZ"/>
        </w:rPr>
      </w:pPr>
      <w:r w:rsidRPr="007108BD">
        <w:rPr>
          <w:rStyle w:val="Appelnotedebasdep"/>
          <w:rFonts w:ascii="Simplified Arabic" w:hAnsi="Simplified Arabic" w:cs="Simplified Arabic"/>
          <w:sz w:val="24"/>
          <w:szCs w:val="24"/>
        </w:rPr>
        <w:footnoteRef/>
      </w:r>
      <w:r w:rsidRPr="007108BD">
        <w:rPr>
          <w:rFonts w:ascii="Simplified Arabic" w:hAnsi="Simplified Arabic" w:cs="Simplified Arabic"/>
          <w:b/>
          <w:bCs/>
          <w:sz w:val="24"/>
          <w:szCs w:val="24"/>
          <w:rtl/>
        </w:rPr>
        <w:t>فقه الفلسفة،</w:t>
      </w:r>
      <w:r w:rsidRPr="007108BD">
        <w:rPr>
          <w:rFonts w:ascii="Simplified Arabic" w:hAnsi="Simplified Arabic" w:cs="Simplified Arabic"/>
          <w:sz w:val="24"/>
          <w:szCs w:val="24"/>
          <w:rtl/>
        </w:rPr>
        <w:t xml:space="preserve"> ج 2، ص 97.</w:t>
      </w:r>
    </w:p>
  </w:footnote>
  <w:footnote w:id="124">
    <w:p w:rsidR="004F75E3" w:rsidRPr="00C959BD" w:rsidRDefault="004F75E3" w:rsidP="004F75E3">
      <w:pPr>
        <w:pStyle w:val="Notedebasdepage"/>
        <w:bidi/>
        <w:jc w:val="both"/>
        <w:rPr>
          <w:rFonts w:ascii="Simplified Arabic" w:hAnsi="Simplified Arabic" w:cs="Simplified Arabic"/>
          <w:sz w:val="24"/>
          <w:szCs w:val="24"/>
          <w:rtl/>
          <w:lang w:bidi="ar-DZ"/>
        </w:rPr>
      </w:pPr>
      <w:r w:rsidRPr="00C959BD">
        <w:rPr>
          <w:rStyle w:val="Appelnotedebasdep"/>
          <w:rFonts w:ascii="Simplified Arabic" w:hAnsi="Simplified Arabic" w:cs="Simplified Arabic"/>
          <w:sz w:val="24"/>
          <w:szCs w:val="24"/>
        </w:rPr>
        <w:footnoteRef/>
      </w:r>
      <w:r w:rsidRPr="00C959BD">
        <w:rPr>
          <w:rFonts w:ascii="Simplified Arabic" w:hAnsi="Simplified Arabic" w:cs="Simplified Arabic"/>
          <w:b/>
          <w:bCs/>
          <w:sz w:val="24"/>
          <w:szCs w:val="24"/>
          <w:rtl/>
        </w:rPr>
        <w:t>فقه الفلسفة</w:t>
      </w:r>
      <w:r w:rsidRPr="00C959BD">
        <w:rPr>
          <w:rFonts w:ascii="Simplified Arabic" w:hAnsi="Simplified Arabic" w:cs="Simplified Arabic"/>
          <w:sz w:val="24"/>
          <w:szCs w:val="24"/>
          <w:rtl/>
        </w:rPr>
        <w:t>، مرجع سابق، ج 2، ص 61.</w:t>
      </w:r>
    </w:p>
  </w:footnote>
  <w:footnote w:id="125">
    <w:p w:rsidR="004F75E3" w:rsidRPr="00C959BD" w:rsidRDefault="004F75E3" w:rsidP="004F75E3">
      <w:pPr>
        <w:pStyle w:val="Notedebasdepage"/>
        <w:bidi/>
        <w:jc w:val="both"/>
        <w:rPr>
          <w:rFonts w:ascii="Simplified Arabic" w:hAnsi="Simplified Arabic" w:cs="Simplified Arabic"/>
          <w:sz w:val="24"/>
          <w:szCs w:val="24"/>
          <w:rtl/>
          <w:lang w:bidi="ar-DZ"/>
        </w:rPr>
      </w:pPr>
      <w:r w:rsidRPr="00C959BD">
        <w:rPr>
          <w:rStyle w:val="Appelnotedebasdep"/>
          <w:rFonts w:ascii="Simplified Arabic" w:hAnsi="Simplified Arabic" w:cs="Simplified Arabic"/>
          <w:sz w:val="24"/>
          <w:szCs w:val="24"/>
        </w:rPr>
        <w:footnoteRef/>
      </w:r>
      <w:r w:rsidRPr="00C959BD">
        <w:rPr>
          <w:rFonts w:ascii="Simplified Arabic" w:hAnsi="Simplified Arabic" w:cs="Simplified Arabic"/>
          <w:b/>
          <w:bCs/>
          <w:sz w:val="24"/>
          <w:szCs w:val="24"/>
          <w:rtl/>
        </w:rPr>
        <w:t>المرجع نفسه</w:t>
      </w:r>
      <w:r w:rsidRPr="00C959BD">
        <w:rPr>
          <w:rFonts w:ascii="Simplified Arabic" w:hAnsi="Simplified Arabic" w:cs="Simplified Arabic"/>
          <w:sz w:val="24"/>
          <w:szCs w:val="24"/>
          <w:rtl/>
        </w:rPr>
        <w:t>، الصفحة نفسها.</w:t>
      </w:r>
    </w:p>
  </w:footnote>
  <w:footnote w:id="126">
    <w:p w:rsidR="004F75E3" w:rsidRPr="00C959BD" w:rsidRDefault="004F75E3" w:rsidP="00A01C6E">
      <w:pPr>
        <w:pStyle w:val="Notedebasdepage"/>
        <w:bidi/>
        <w:rPr>
          <w:rFonts w:ascii="Simplified Arabic" w:hAnsi="Simplified Arabic" w:cs="Simplified Arabic"/>
          <w:sz w:val="24"/>
          <w:szCs w:val="24"/>
          <w:rtl/>
          <w:lang w:bidi="ar-DZ"/>
        </w:rPr>
      </w:pPr>
      <w:r w:rsidRPr="00C959BD">
        <w:rPr>
          <w:rStyle w:val="Appelnotedebasdep"/>
          <w:rFonts w:ascii="Simplified Arabic" w:hAnsi="Simplified Arabic" w:cs="Simplified Arabic"/>
          <w:sz w:val="24"/>
          <w:szCs w:val="24"/>
        </w:rPr>
        <w:footnoteRef/>
      </w:r>
      <w:r w:rsidRPr="00C959BD">
        <w:rPr>
          <w:rFonts w:ascii="Simplified Arabic" w:hAnsi="Simplified Arabic" w:cs="Simplified Arabic"/>
          <w:b/>
          <w:bCs/>
          <w:sz w:val="24"/>
          <w:szCs w:val="24"/>
          <w:rtl/>
        </w:rPr>
        <w:t>المرجع نفسه</w:t>
      </w:r>
      <w:r w:rsidRPr="00C959BD">
        <w:rPr>
          <w:rFonts w:ascii="Simplified Arabic" w:hAnsi="Simplified Arabic" w:cs="Simplified Arabic"/>
          <w:sz w:val="24"/>
          <w:szCs w:val="24"/>
          <w:rtl/>
        </w:rPr>
        <w:t>،ص 62.</w:t>
      </w:r>
    </w:p>
  </w:footnote>
  <w:footnote w:id="127">
    <w:p w:rsidR="004F75E3" w:rsidRPr="00C959BD" w:rsidRDefault="004F75E3" w:rsidP="00A01C6E">
      <w:pPr>
        <w:pStyle w:val="Notedebasdepage"/>
        <w:bidi/>
        <w:rPr>
          <w:rFonts w:ascii="Simplified Arabic" w:hAnsi="Simplified Arabic" w:cs="Simplified Arabic"/>
          <w:sz w:val="24"/>
          <w:szCs w:val="24"/>
          <w:rtl/>
          <w:lang w:bidi="ar-DZ"/>
        </w:rPr>
      </w:pPr>
      <w:r w:rsidRPr="00C959BD">
        <w:rPr>
          <w:rStyle w:val="Appelnotedebasdep"/>
          <w:rFonts w:ascii="Simplified Arabic" w:hAnsi="Simplified Arabic" w:cs="Simplified Arabic"/>
          <w:sz w:val="24"/>
          <w:szCs w:val="24"/>
        </w:rPr>
        <w:footnoteRef/>
      </w:r>
      <w:r w:rsidRPr="00C959BD">
        <w:rPr>
          <w:rFonts w:ascii="Simplified Arabic" w:hAnsi="Simplified Arabic" w:cs="Simplified Arabic"/>
          <w:b/>
          <w:bCs/>
          <w:sz w:val="24"/>
          <w:szCs w:val="24"/>
          <w:rtl/>
        </w:rPr>
        <w:t>فقه الفلسفة</w:t>
      </w:r>
      <w:r w:rsidRPr="00C959BD">
        <w:rPr>
          <w:rFonts w:ascii="Simplified Arabic" w:hAnsi="Simplified Arabic" w:cs="Simplified Arabic"/>
          <w:sz w:val="24"/>
          <w:szCs w:val="24"/>
          <w:rtl/>
        </w:rPr>
        <w:t>، مرجع سابق، ج 1، ص 17.</w:t>
      </w:r>
    </w:p>
  </w:footnote>
  <w:footnote w:id="128">
    <w:p w:rsidR="004F75E3" w:rsidRPr="00C959BD" w:rsidRDefault="004F75E3" w:rsidP="00A01C6E">
      <w:pPr>
        <w:pStyle w:val="Notedebasdepage"/>
        <w:bidi/>
        <w:rPr>
          <w:rFonts w:ascii="Simplified Arabic" w:hAnsi="Simplified Arabic" w:cs="Simplified Arabic"/>
          <w:sz w:val="24"/>
          <w:szCs w:val="24"/>
          <w:rtl/>
          <w:lang w:bidi="ar-DZ"/>
        </w:rPr>
      </w:pPr>
      <w:r w:rsidRPr="00C959BD">
        <w:rPr>
          <w:rStyle w:val="Appelnotedebasdep"/>
          <w:rFonts w:ascii="Simplified Arabic" w:hAnsi="Simplified Arabic" w:cs="Simplified Arabic"/>
          <w:sz w:val="24"/>
          <w:szCs w:val="24"/>
        </w:rPr>
        <w:footnoteRef/>
      </w:r>
      <w:r w:rsidRPr="00C959BD">
        <w:rPr>
          <w:rFonts w:ascii="Simplified Arabic" w:hAnsi="Simplified Arabic" w:cs="Simplified Arabic"/>
          <w:b/>
          <w:bCs/>
          <w:sz w:val="24"/>
          <w:szCs w:val="24"/>
          <w:rtl/>
        </w:rPr>
        <w:t>المرجع نفسه،</w:t>
      </w:r>
      <w:r w:rsidRPr="00C959BD">
        <w:rPr>
          <w:rFonts w:ascii="Simplified Arabic" w:hAnsi="Simplified Arabic" w:cs="Simplified Arabic"/>
          <w:sz w:val="24"/>
          <w:szCs w:val="24"/>
          <w:rtl/>
        </w:rPr>
        <w:t xml:space="preserve"> ج 2، ص 62.</w:t>
      </w:r>
    </w:p>
  </w:footnote>
  <w:footnote w:id="129">
    <w:p w:rsidR="004F75E3" w:rsidRPr="00715CDD" w:rsidRDefault="004F75E3" w:rsidP="00A01C6E">
      <w:pPr>
        <w:pStyle w:val="Notedebasdepage"/>
        <w:bidi/>
        <w:rPr>
          <w:rFonts w:ascii="Simplified Arabic" w:hAnsi="Simplified Arabic" w:cs="Simplified Arabic"/>
          <w:rtl/>
          <w:lang w:bidi="ar-DZ"/>
        </w:rPr>
      </w:pPr>
      <w:r w:rsidRPr="00715CDD">
        <w:rPr>
          <w:rStyle w:val="Appelnotedebasdep"/>
          <w:rFonts w:ascii="Simplified Arabic" w:hAnsi="Simplified Arabic" w:cs="Simplified Arabic"/>
          <w:sz w:val="24"/>
          <w:szCs w:val="24"/>
        </w:rPr>
        <w:footnoteRef/>
      </w:r>
      <w:r w:rsidRPr="00715CDD">
        <w:rPr>
          <w:rFonts w:ascii="Simplified Arabic" w:hAnsi="Simplified Arabic" w:cs="Simplified Arabic"/>
          <w:b/>
          <w:bCs/>
          <w:sz w:val="24"/>
          <w:szCs w:val="24"/>
          <w:rtl/>
        </w:rPr>
        <w:t>المرجع نفسه،</w:t>
      </w:r>
      <w:r w:rsidRPr="00715CDD">
        <w:rPr>
          <w:rFonts w:ascii="Simplified Arabic" w:hAnsi="Simplified Arabic" w:cs="Simplified Arabic"/>
          <w:sz w:val="24"/>
          <w:szCs w:val="24"/>
          <w:rtl/>
        </w:rPr>
        <w:t xml:space="preserve"> ج 1، ص 43.</w:t>
      </w:r>
    </w:p>
  </w:footnote>
  <w:footnote w:id="130">
    <w:p w:rsidR="004F75E3" w:rsidRPr="00715CDD" w:rsidRDefault="004F75E3" w:rsidP="004F75E3">
      <w:pPr>
        <w:pStyle w:val="Notedebasdepage"/>
        <w:bidi/>
        <w:jc w:val="both"/>
        <w:rPr>
          <w:rFonts w:ascii="Simplified Arabic" w:hAnsi="Simplified Arabic" w:cs="Simplified Arabic"/>
          <w:sz w:val="24"/>
          <w:szCs w:val="24"/>
          <w:rtl/>
          <w:lang w:bidi="ar-DZ"/>
        </w:rPr>
      </w:pPr>
      <w:r w:rsidRPr="00715CDD">
        <w:rPr>
          <w:rStyle w:val="Appelnotedebasdep"/>
          <w:rFonts w:ascii="Simplified Arabic" w:hAnsi="Simplified Arabic" w:cs="Simplified Arabic"/>
          <w:sz w:val="24"/>
          <w:szCs w:val="24"/>
        </w:rPr>
        <w:footnoteRef/>
      </w:r>
      <w:r w:rsidRPr="00715CDD">
        <w:rPr>
          <w:rFonts w:ascii="Simplified Arabic" w:hAnsi="Simplified Arabic" w:cs="Simplified Arabic"/>
          <w:b/>
          <w:bCs/>
          <w:sz w:val="24"/>
          <w:szCs w:val="24"/>
          <w:rtl/>
        </w:rPr>
        <w:t xml:space="preserve">الحق العربي في الاختلاف الفلسفي، </w:t>
      </w:r>
      <w:r w:rsidRPr="00715CDD">
        <w:rPr>
          <w:rFonts w:ascii="Simplified Arabic" w:hAnsi="Simplified Arabic" w:cs="Simplified Arabic"/>
          <w:sz w:val="24"/>
          <w:szCs w:val="24"/>
          <w:rtl/>
        </w:rPr>
        <w:t>مرجع سابق، ص 108.</w:t>
      </w:r>
    </w:p>
  </w:footnote>
  <w:footnote w:id="131">
    <w:p w:rsidR="004F75E3" w:rsidRPr="00715CDD" w:rsidRDefault="004F75E3" w:rsidP="004F75E3">
      <w:pPr>
        <w:pStyle w:val="Notedebasdepage"/>
        <w:bidi/>
        <w:jc w:val="both"/>
        <w:rPr>
          <w:rFonts w:ascii="Simplified Arabic" w:hAnsi="Simplified Arabic" w:cs="Simplified Arabic"/>
          <w:sz w:val="24"/>
          <w:szCs w:val="24"/>
          <w:rtl/>
          <w:lang w:bidi="ar-DZ"/>
        </w:rPr>
      </w:pPr>
      <w:r w:rsidRPr="00715CDD">
        <w:rPr>
          <w:rStyle w:val="Appelnotedebasdep"/>
          <w:rFonts w:ascii="Simplified Arabic" w:hAnsi="Simplified Arabic" w:cs="Simplified Arabic"/>
          <w:sz w:val="24"/>
          <w:szCs w:val="24"/>
        </w:rPr>
        <w:footnoteRef/>
      </w:r>
      <w:r w:rsidRPr="00715CDD">
        <w:rPr>
          <w:rFonts w:ascii="Simplified Arabic" w:hAnsi="Simplified Arabic" w:cs="Simplified Arabic"/>
          <w:b/>
          <w:bCs/>
          <w:sz w:val="24"/>
          <w:szCs w:val="24"/>
          <w:rtl/>
        </w:rPr>
        <w:t>تجديد المنهج في تقويم التراث</w:t>
      </w:r>
      <w:r w:rsidRPr="00715CDD">
        <w:rPr>
          <w:rFonts w:ascii="Simplified Arabic" w:hAnsi="Simplified Arabic" w:cs="Simplified Arabic"/>
          <w:sz w:val="24"/>
          <w:szCs w:val="24"/>
          <w:rtl/>
        </w:rPr>
        <w:t>، مرجع سابق، ص 105.</w:t>
      </w:r>
    </w:p>
  </w:footnote>
  <w:footnote w:id="132">
    <w:p w:rsidR="004F75E3" w:rsidRPr="00715CDD" w:rsidRDefault="004F75E3" w:rsidP="004F75E3">
      <w:pPr>
        <w:pStyle w:val="Notedebasdepage"/>
        <w:bidi/>
        <w:jc w:val="both"/>
        <w:rPr>
          <w:rFonts w:ascii="Simplified Arabic" w:hAnsi="Simplified Arabic" w:cs="Simplified Arabic"/>
          <w:sz w:val="24"/>
          <w:szCs w:val="24"/>
          <w:rtl/>
          <w:lang w:bidi="ar-DZ"/>
        </w:rPr>
      </w:pPr>
      <w:r w:rsidRPr="00715CDD">
        <w:rPr>
          <w:rStyle w:val="Appelnotedebasdep"/>
          <w:rFonts w:ascii="Simplified Arabic" w:hAnsi="Simplified Arabic" w:cs="Simplified Arabic"/>
          <w:sz w:val="24"/>
          <w:szCs w:val="24"/>
        </w:rPr>
        <w:footnoteRef/>
      </w:r>
      <w:r w:rsidRPr="00715CDD">
        <w:rPr>
          <w:rFonts w:ascii="Simplified Arabic" w:hAnsi="Simplified Arabic" w:cs="Simplified Arabic"/>
          <w:b/>
          <w:bCs/>
          <w:sz w:val="24"/>
          <w:szCs w:val="24"/>
          <w:rtl/>
        </w:rPr>
        <w:t>اللغة والمنطق،</w:t>
      </w:r>
      <w:r w:rsidRPr="00715CDD">
        <w:rPr>
          <w:rFonts w:ascii="Simplified Arabic" w:hAnsi="Simplified Arabic" w:cs="Simplified Arabic"/>
          <w:sz w:val="24"/>
          <w:szCs w:val="24"/>
          <w:rtl/>
        </w:rPr>
        <w:t xml:space="preserve"> مرجع سابق، ص 133.</w:t>
      </w:r>
    </w:p>
  </w:footnote>
  <w:footnote w:id="133">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فقه الفلسفة</w:t>
      </w:r>
      <w:r w:rsidRPr="00331A03">
        <w:rPr>
          <w:rFonts w:ascii="Simplified Arabic" w:hAnsi="Simplified Arabic" w:cs="Simplified Arabic"/>
          <w:sz w:val="24"/>
          <w:szCs w:val="24"/>
          <w:rtl/>
        </w:rPr>
        <w:t>، مرجع سابق، ج 2، ص 14.</w:t>
      </w:r>
    </w:p>
  </w:footnote>
  <w:footnote w:id="134">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اللغة والمنطق</w:t>
      </w:r>
      <w:r w:rsidRPr="00331A03">
        <w:rPr>
          <w:rFonts w:ascii="Simplified Arabic" w:hAnsi="Simplified Arabic" w:cs="Simplified Arabic"/>
          <w:sz w:val="24"/>
          <w:szCs w:val="24"/>
          <w:rtl/>
        </w:rPr>
        <w:t>، مرجع سابق، ص 137.</w:t>
      </w:r>
    </w:p>
  </w:footnote>
  <w:footnote w:id="135">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sz w:val="24"/>
          <w:szCs w:val="24"/>
          <w:rtl/>
        </w:rPr>
        <w:t xml:space="preserve">انظر تفاصيل المجال التداولي العربي الإسلامي عند طه عبدالرحمن، في كتابه </w:t>
      </w:r>
      <w:r w:rsidRPr="00331A03">
        <w:rPr>
          <w:rFonts w:ascii="Simplified Arabic" w:hAnsi="Simplified Arabic" w:cs="Simplified Arabic"/>
          <w:b/>
          <w:bCs/>
          <w:sz w:val="24"/>
          <w:szCs w:val="24"/>
          <w:rtl/>
        </w:rPr>
        <w:t>تجديد المنهج في تقويم التراث</w:t>
      </w:r>
      <w:r w:rsidRPr="00331A03">
        <w:rPr>
          <w:rFonts w:ascii="Simplified Arabic" w:hAnsi="Simplified Arabic" w:cs="Simplified Arabic"/>
          <w:sz w:val="24"/>
          <w:szCs w:val="24"/>
          <w:rtl/>
        </w:rPr>
        <w:t>، ص 244-250.</w:t>
      </w:r>
    </w:p>
  </w:footnote>
  <w:footnote w:id="136">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المرجع نفسه،</w:t>
      </w:r>
      <w:r w:rsidRPr="00331A03">
        <w:rPr>
          <w:rFonts w:ascii="Simplified Arabic" w:hAnsi="Simplified Arabic" w:cs="Simplified Arabic"/>
          <w:sz w:val="24"/>
          <w:szCs w:val="24"/>
          <w:rtl/>
        </w:rPr>
        <w:t xml:space="preserve"> ص 245.</w:t>
      </w:r>
    </w:p>
  </w:footnote>
  <w:footnote w:id="137">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المرجع نفسه،</w:t>
      </w:r>
      <w:r w:rsidRPr="00331A03">
        <w:rPr>
          <w:rFonts w:ascii="Simplified Arabic" w:hAnsi="Simplified Arabic" w:cs="Simplified Arabic"/>
          <w:sz w:val="24"/>
          <w:szCs w:val="24"/>
          <w:rtl/>
        </w:rPr>
        <w:t xml:space="preserve"> الصفحة نفسها.</w:t>
      </w:r>
    </w:p>
  </w:footnote>
  <w:footnote w:id="138">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المرجع نفسه،</w:t>
      </w:r>
      <w:r w:rsidRPr="00331A03">
        <w:rPr>
          <w:rFonts w:ascii="Simplified Arabic" w:hAnsi="Simplified Arabic" w:cs="Simplified Arabic"/>
          <w:sz w:val="24"/>
          <w:szCs w:val="24"/>
          <w:rtl/>
        </w:rPr>
        <w:t xml:space="preserve"> ص 246.</w:t>
      </w:r>
    </w:p>
  </w:footnote>
  <w:footnote w:id="139">
    <w:p w:rsidR="004F75E3" w:rsidRPr="00331A03" w:rsidRDefault="004F75E3" w:rsidP="004F75E3">
      <w:pPr>
        <w:pStyle w:val="Notedebasdepage"/>
        <w:bidi/>
        <w:jc w:val="both"/>
        <w:rPr>
          <w:rFonts w:ascii="Simplified Arabic" w:hAnsi="Simplified Arabic" w:cs="Simplified Arabic"/>
          <w:sz w:val="24"/>
          <w:szCs w:val="24"/>
          <w:rtl/>
          <w:lang w:bidi="ar-DZ"/>
        </w:rPr>
      </w:pPr>
      <w:r w:rsidRPr="00331A03">
        <w:rPr>
          <w:rStyle w:val="Appelnotedebasdep"/>
          <w:rFonts w:ascii="Simplified Arabic" w:hAnsi="Simplified Arabic" w:cs="Simplified Arabic"/>
          <w:sz w:val="24"/>
          <w:szCs w:val="24"/>
        </w:rPr>
        <w:footnoteRef/>
      </w:r>
      <w:r w:rsidRPr="00331A03">
        <w:rPr>
          <w:rFonts w:ascii="Simplified Arabic" w:hAnsi="Simplified Arabic" w:cs="Simplified Arabic"/>
          <w:b/>
          <w:bCs/>
          <w:sz w:val="24"/>
          <w:szCs w:val="24"/>
          <w:rtl/>
        </w:rPr>
        <w:t>المرجع نفسه،</w:t>
      </w:r>
      <w:r w:rsidRPr="00331A03">
        <w:rPr>
          <w:rFonts w:ascii="Simplified Arabic" w:hAnsi="Simplified Arabic" w:cs="Simplified Arabic"/>
          <w:sz w:val="24"/>
          <w:szCs w:val="24"/>
          <w:rtl/>
        </w:rPr>
        <w:t xml:space="preserve"> ص 248.</w:t>
      </w:r>
    </w:p>
  </w:footnote>
  <w:footnote w:id="140">
    <w:p w:rsidR="004F75E3" w:rsidRPr="00D11835" w:rsidRDefault="004F75E3" w:rsidP="004F75E3">
      <w:pPr>
        <w:pStyle w:val="Notedebasdepage"/>
        <w:bidi/>
        <w:jc w:val="both"/>
        <w:rPr>
          <w:rFonts w:ascii="Simplified Arabic" w:hAnsi="Simplified Arabic" w:cs="Simplified Arabic"/>
          <w:sz w:val="24"/>
          <w:szCs w:val="24"/>
          <w:rtl/>
          <w:lang w:bidi="ar-DZ"/>
        </w:rPr>
      </w:pPr>
      <w:r w:rsidRPr="00D11835">
        <w:rPr>
          <w:rStyle w:val="Appelnotedebasdep"/>
          <w:rFonts w:ascii="Simplified Arabic" w:hAnsi="Simplified Arabic" w:cs="Simplified Arabic"/>
          <w:sz w:val="24"/>
          <w:szCs w:val="24"/>
        </w:rPr>
        <w:footnoteRef/>
      </w:r>
      <w:r w:rsidRPr="00D11835">
        <w:rPr>
          <w:rFonts w:ascii="Simplified Arabic" w:hAnsi="Simplified Arabic" w:cs="Simplified Arabic"/>
          <w:b/>
          <w:bCs/>
          <w:sz w:val="24"/>
          <w:szCs w:val="24"/>
          <w:rtl/>
        </w:rPr>
        <w:t>تجديد المنهج في تقويم التراث</w:t>
      </w:r>
      <w:r w:rsidRPr="00D11835">
        <w:rPr>
          <w:rFonts w:ascii="Simplified Arabic" w:hAnsi="Simplified Arabic" w:cs="Simplified Arabic"/>
          <w:sz w:val="24"/>
          <w:szCs w:val="24"/>
          <w:rtl/>
        </w:rPr>
        <w:t>، مرجع سابق، ص 250.</w:t>
      </w:r>
    </w:p>
  </w:footnote>
  <w:footnote w:id="141">
    <w:p w:rsidR="004F75E3" w:rsidRPr="00D11835" w:rsidRDefault="004F75E3" w:rsidP="004F75E3">
      <w:pPr>
        <w:pStyle w:val="Notedebasdepage"/>
        <w:bidi/>
        <w:jc w:val="both"/>
        <w:rPr>
          <w:rFonts w:ascii="Simplified Arabic" w:hAnsi="Simplified Arabic" w:cs="Simplified Arabic"/>
          <w:rtl/>
          <w:lang w:bidi="ar-DZ"/>
        </w:rPr>
      </w:pPr>
      <w:r w:rsidRPr="00D11835">
        <w:rPr>
          <w:rStyle w:val="Appelnotedebasdep"/>
          <w:rFonts w:ascii="Simplified Arabic" w:hAnsi="Simplified Arabic" w:cs="Simplified Arabic"/>
          <w:sz w:val="24"/>
          <w:szCs w:val="24"/>
        </w:rPr>
        <w:footnoteRef/>
      </w:r>
      <w:r w:rsidRPr="00D11835">
        <w:rPr>
          <w:rFonts w:ascii="Simplified Arabic" w:hAnsi="Simplified Arabic" w:cs="Simplified Arabic"/>
          <w:sz w:val="24"/>
          <w:szCs w:val="24"/>
          <w:rtl/>
        </w:rPr>
        <w:t xml:space="preserve">التحقيق يعني إثبات المسألة بدليلها، انظر </w:t>
      </w:r>
      <w:r w:rsidRPr="00D11835">
        <w:rPr>
          <w:rFonts w:ascii="Simplified Arabic" w:hAnsi="Simplified Arabic" w:cs="Simplified Arabic"/>
          <w:b/>
          <w:bCs/>
          <w:sz w:val="24"/>
          <w:szCs w:val="24"/>
          <w:rtl/>
        </w:rPr>
        <w:t>الجرجاني</w:t>
      </w:r>
      <w:r w:rsidRPr="00D11835">
        <w:rPr>
          <w:rFonts w:ascii="Simplified Arabic" w:hAnsi="Simplified Arabic" w:cs="Simplified Arabic"/>
          <w:sz w:val="24"/>
          <w:szCs w:val="24"/>
          <w:rtl/>
        </w:rPr>
        <w:t>، ص 55.</w:t>
      </w:r>
    </w:p>
  </w:footnote>
  <w:footnote w:id="142">
    <w:p w:rsidR="004F75E3" w:rsidRPr="00D11835" w:rsidRDefault="004F75E3" w:rsidP="008E21EC">
      <w:pPr>
        <w:pStyle w:val="Notedebasdepage"/>
        <w:bidi/>
        <w:jc w:val="both"/>
        <w:rPr>
          <w:rFonts w:ascii="Simplified Arabic" w:hAnsi="Simplified Arabic" w:cs="Simplified Arabic"/>
          <w:sz w:val="24"/>
          <w:szCs w:val="24"/>
          <w:rtl/>
          <w:lang w:bidi="ar-DZ"/>
        </w:rPr>
      </w:pPr>
      <w:r w:rsidRPr="00D11835">
        <w:rPr>
          <w:rStyle w:val="Appelnotedebasdep"/>
          <w:rFonts w:ascii="Simplified Arabic" w:hAnsi="Simplified Arabic" w:cs="Simplified Arabic"/>
          <w:sz w:val="24"/>
          <w:szCs w:val="24"/>
        </w:rPr>
        <w:footnoteRef/>
      </w:r>
      <w:r w:rsidRPr="00D11835">
        <w:rPr>
          <w:rFonts w:ascii="Simplified Arabic" w:hAnsi="Simplified Arabic" w:cs="Simplified Arabic"/>
          <w:b/>
          <w:bCs/>
          <w:sz w:val="24"/>
          <w:szCs w:val="24"/>
          <w:rtl/>
        </w:rPr>
        <w:t>فقه الفلسفة</w:t>
      </w:r>
      <w:r w:rsidRPr="00D11835">
        <w:rPr>
          <w:rFonts w:ascii="Simplified Arabic" w:hAnsi="Simplified Arabic" w:cs="Simplified Arabic"/>
          <w:sz w:val="24"/>
          <w:szCs w:val="24"/>
          <w:rtl/>
        </w:rPr>
        <w:t>، ج 2، ص 62.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4C05" w:rsidRDefault="003D4C0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5E3" w:rsidRPr="00E61AF8" w:rsidRDefault="004F75E3" w:rsidP="004F75E3">
    <w:pPr>
      <w:bidi/>
      <w:spacing w:after="0" w:line="240" w:lineRule="auto"/>
      <w:ind w:right="-1304" w:hanging="1418"/>
      <w:jc w:val="center"/>
      <w:rPr>
        <w:rFonts w:cs="Fanan"/>
        <w:sz w:val="10"/>
        <w:szCs w:val="10"/>
        <w:rtl/>
        <w:lang w:bidi="ar-DZ"/>
      </w:rPr>
    </w:pPr>
  </w:p>
  <w:p w:rsidR="004F75E3" w:rsidRDefault="004F75E3" w:rsidP="004F75E3">
    <w:pPr>
      <w:bidi/>
      <w:spacing w:after="0" w:line="240" w:lineRule="auto"/>
      <w:ind w:right="-1304" w:hanging="1418"/>
      <w:jc w:val="center"/>
      <w:rPr>
        <w:rFonts w:cs="Fanan"/>
        <w:sz w:val="2"/>
        <w:szCs w:val="2"/>
        <w:lang w:bidi="ar-DZ"/>
      </w:rPr>
    </w:pPr>
  </w:p>
  <w:p w:rsidR="004F75E3" w:rsidRDefault="000156F1" w:rsidP="004F75E3">
    <w:pPr>
      <w:bidi/>
      <w:spacing w:after="0" w:line="240" w:lineRule="auto"/>
      <w:ind w:right="-1304" w:hanging="1418"/>
      <w:jc w:val="center"/>
      <w:rPr>
        <w:rFonts w:cs="Fanan"/>
        <w:sz w:val="2"/>
        <w:szCs w:val="2"/>
        <w:lang w:bidi="ar-DZ"/>
      </w:rPr>
    </w:pPr>
    <w:r w:rsidRPr="000156F1">
      <w:rPr>
        <w:rFonts w:ascii="ae_Ouhod" w:hAnsi="ae_Ouhod" w:cs="ae_Ouhod"/>
        <w:noProof/>
        <w:lang w:eastAsia="fr-FR"/>
      </w:rPr>
      <w:pict>
        <v:shapetype id="_x0000_t202" coordsize="21600,21600" o:spt="202" path="m,l,21600r21600,l21600,xe">
          <v:stroke joinstyle="miter"/>
          <v:path gradientshapeok="t" o:connecttype="rect"/>
        </v:shapetype>
        <v:shape id="Text Box 39" o:spid="_x0000_s4109" type="#_x0000_t202" style="position:absolute;left:0;text-align:left;margin-left:111.2pt;margin-top:-.2pt;width:77.3pt;height:69.7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" filled="f" stroked="f">
          <v:textbox>
            <w:txbxContent>
              <w:p w:rsidR="004F75E3" w:rsidRDefault="004F75E3" w:rsidP="004F75E3">
                <w:r>
                  <w:rPr>
                    <w:noProof/>
                    <w:lang w:val="en-US"/>
                  </w:rPr>
                  <w:drawing>
                    <wp:inline distT="0" distB="0" distL="0" distR="0">
                      <wp:extent cx="716280" cy="716280"/>
                      <wp:effectExtent l="19050" t="0" r="7620" b="0"/>
                      <wp:docPr id="2"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0156F1">
      <w:rPr>
        <w:rFonts w:cs="AL-Fares"/>
        <w:noProof/>
        <w:sz w:val="28"/>
        <w:szCs w:val="28"/>
        <w:lang w:eastAsia="fr-FR"/>
      </w:rPr>
      <w:pict>
        <v:shape id="Text Box 37" o:spid="_x0000_s4108" type="#_x0000_t202" style="position:absolute;left:0;text-align:left;margin-left:318.9pt;margin-top:-.2pt;width:49.45pt;height:67.9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" filled="f" stroked="f">
          <v:textbox>
            <w:txbxContent>
              <w:p w:rsidR="004F75E3" w:rsidRDefault="004F75E3" w:rsidP="004F75E3">
                <w:r w:rsidRPr="00A27053">
                  <w:rPr>
                    <w:noProof/>
                    <w:lang w:val="en-US"/>
                  </w:rPr>
                  <w:drawing>
                    <wp:inline distT="0" distB="0" distL="0" distR="0">
                      <wp:extent cx="602503" cy="675342"/>
                      <wp:effectExtent l="19050" t="0" r="7097"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03084" cy="675993"/>
                              </a:xfrm>
                              <a:prstGeom prst="rect">
                                <a:avLst/>
                              </a:prstGeom>
                              <a:noFill/>
                              <a:ln w="9525">
                                <a:noFill/>
                                <a:miter lim="800000"/>
                                <a:headEnd/>
                                <a:tailEnd/>
                              </a:ln>
                            </pic:spPr>
                          </pic:pic>
                        </a:graphicData>
                      </a:graphic>
                    </wp:inline>
                  </w:drawing>
                </w:r>
              </w:p>
            </w:txbxContent>
          </v:textbox>
        </v:shape>
      </w:pict>
    </w:r>
  </w:p>
  <w:p w:rsidR="004F75E3" w:rsidRDefault="004F75E3" w:rsidP="004F75E3">
    <w:pPr>
      <w:bidi/>
      <w:spacing w:after="0" w:line="240" w:lineRule="auto"/>
      <w:ind w:right="-1304" w:hanging="1418"/>
      <w:jc w:val="center"/>
      <w:rPr>
        <w:rFonts w:cs="Fanan"/>
        <w:sz w:val="2"/>
        <w:szCs w:val="2"/>
        <w:lang w:bidi="ar-DZ"/>
      </w:rPr>
    </w:pPr>
  </w:p>
  <w:p w:rsidR="004F75E3" w:rsidRDefault="004F75E3" w:rsidP="004F75E3">
    <w:pPr>
      <w:bidi/>
      <w:spacing w:after="0" w:line="240" w:lineRule="auto"/>
      <w:ind w:right="-1304" w:hanging="1418"/>
      <w:jc w:val="center"/>
      <w:rPr>
        <w:rFonts w:cs="Fanan"/>
        <w:sz w:val="2"/>
        <w:szCs w:val="2"/>
        <w:lang w:bidi="ar-DZ"/>
      </w:rPr>
    </w:pPr>
  </w:p>
  <w:p w:rsidR="004F75E3" w:rsidRDefault="004F75E3" w:rsidP="004F75E3">
    <w:pPr>
      <w:bidi/>
      <w:spacing w:after="0" w:line="240" w:lineRule="auto"/>
      <w:ind w:right="-1304" w:hanging="1418"/>
      <w:jc w:val="center"/>
      <w:rPr>
        <w:rFonts w:cs="Fanan"/>
        <w:sz w:val="2"/>
        <w:szCs w:val="2"/>
        <w:lang w:bidi="ar-DZ"/>
      </w:rPr>
    </w:pPr>
  </w:p>
  <w:p w:rsidR="004F75E3" w:rsidRPr="00DD26EE" w:rsidRDefault="004F75E3" w:rsidP="004F75E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4F75E3" w:rsidRPr="00DD26EE" w:rsidRDefault="000156F1" w:rsidP="004F75E3">
    <w:pPr>
      <w:spacing w:after="0" w:line="240" w:lineRule="auto"/>
      <w:ind w:right="-1304"/>
      <w:jc w:val="center"/>
      <w:rPr>
        <w:rFonts w:ascii="ae_Ouhod" w:hAnsi="ae_Ouhod" w:cs="ae_Ouhod"/>
        <w:b/>
        <w:bCs/>
        <w:sz w:val="26"/>
        <w:szCs w:val="26"/>
        <w:rtl/>
        <w:lang w:bidi="ar-DZ"/>
      </w:rPr>
    </w:pPr>
    <w:r w:rsidRPr="000156F1">
      <w:rPr>
        <w:rFonts w:cs="Fanan"/>
        <w:noProof/>
        <w:sz w:val="24"/>
        <w:szCs w:val="26"/>
        <w:rtl/>
        <w:lang w:eastAsia="fr-FR"/>
      </w:rPr>
      <w:pict>
        <v:shape id="Text Box 38" o:spid="_x0000_s4107" type="#_x0000_t202" style="position:absolute;left:0;text-align:left;margin-left:142.55pt;margin-top:8.25pt;width:207.6pt;height:26.1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" filled="f" stroked="f">
          <v:textbox>
            <w:txbxContent>
              <w:p w:rsidR="004F75E3" w:rsidRPr="00A27053" w:rsidRDefault="004F75E3" w:rsidP="004F75E3">
                <w:pPr>
                  <w:jc w:val="center"/>
                  <w:rPr>
                    <w:rFonts w:ascii="Copperplate Gothic Bold" w:hAnsi="Copperplate Gothic Bold" w:cs="AdvertisingExtraBold"/>
                    <w:b/>
                    <w:bCs/>
                    <w:sz w:val="36"/>
                    <w:szCs w:val="36"/>
                  </w:rPr>
                </w:pPr>
                <w:r w:rsidRPr="00A27053">
                  <w:rPr>
                    <w:rFonts w:ascii="ae_Ouhod" w:hAnsi="ae_Ouhod" w:cs="AdvertisingExtraBold" w:hint="cs"/>
                    <w:b/>
                    <w:bCs/>
                    <w:sz w:val="36"/>
                    <w:szCs w:val="36"/>
                    <w:rtl/>
                    <w:lang w:bidi="ar-DZ"/>
                  </w:rPr>
                  <w:t>مجلة مشكلات الحضارة</w:t>
                </w:r>
              </w:p>
            </w:txbxContent>
          </v:textbox>
        </v:shape>
      </w:pict>
    </w:r>
    <w:r w:rsidR="004F75E3" w:rsidRPr="00DD26EE">
      <w:rPr>
        <w:rFonts w:ascii="Copperplate Gothic Bold" w:hAnsi="Copperplate Gothic Bold" w:cs="AL-Fares"/>
        <w:b/>
        <w:bCs/>
        <w:sz w:val="18"/>
        <w:szCs w:val="18"/>
        <w:lang w:bidi="ar-DZ"/>
      </w:rPr>
      <w:t>Université   Alger</w:t>
    </w:r>
    <w:r w:rsidR="004F75E3" w:rsidRPr="00DD26EE">
      <w:rPr>
        <w:rFonts w:ascii="Copperplate Gothic Bold" w:hAnsi="Copperplate Gothic Bold" w:cs="AL-Fares"/>
        <w:b/>
        <w:bCs/>
        <w:sz w:val="14"/>
        <w:szCs w:val="14"/>
        <w:lang w:bidi="ar-DZ"/>
      </w:rPr>
      <w:t>2</w:t>
    </w:r>
  </w:p>
  <w:p w:rsidR="004F75E3" w:rsidRDefault="004F75E3" w:rsidP="004F75E3">
    <w:pPr>
      <w:pStyle w:val="En-tte"/>
      <w:tabs>
        <w:tab w:val="clear" w:pos="8306"/>
        <w:tab w:val="left" w:pos="4248"/>
        <w:tab w:val="left" w:pos="4956"/>
        <w:tab w:val="left" w:pos="5664"/>
        <w:tab w:val="left" w:pos="5943"/>
      </w:tabs>
      <w:jc w:val="center"/>
    </w:pPr>
  </w:p>
  <w:p w:rsidR="004F75E3" w:rsidRDefault="000156F1" w:rsidP="004F75E3">
    <w:pPr>
      <w:pStyle w:val="En-tte"/>
      <w:jc w:val="center"/>
    </w:pPr>
    <w:r w:rsidRPr="000156F1">
      <w:rPr>
        <w:noProof/>
        <w:lang w:eastAsia="fr-FR"/>
      </w:rPr>
      <w:pict>
        <v:shape id="Text Box 40" o:spid="_x0000_s4106" type="#_x0000_t202" style="position:absolute;left:0;text-align:left;margin-left:176.8pt;margin-top:1.95pt;width:152.55pt;height:22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" filled="f" stroked="f">
          <v:textbox>
            <w:txbxContent>
              <w:p w:rsidR="004F75E3" w:rsidRPr="000A4550" w:rsidRDefault="004F75E3" w:rsidP="004F75E3">
                <w:pPr>
                  <w:rPr>
                    <w:rFonts w:ascii="Copperplate Gothic Bold" w:hAnsi="Copperplate Gothic Bold" w:cs="Times New Roman"/>
                    <w:sz w:val="14"/>
                    <w:szCs w:val="14"/>
                  </w:rPr>
                </w:pPr>
              </w:p>
            </w:txbxContent>
          </v:textbox>
        </v:shape>
      </w:pict>
    </w:r>
  </w:p>
  <w:p w:rsidR="004F75E3" w:rsidRPr="00246677" w:rsidRDefault="000156F1" w:rsidP="004F75E3">
    <w:pPr>
      <w:pStyle w:val="En-tte"/>
      <w:jc w:val="center"/>
      <w:rPr>
        <w:b/>
        <w:bCs/>
      </w:rPr>
    </w:pPr>
    <w:r w:rsidRPr="000156F1">
      <w:rPr>
        <w:rFonts w:ascii="ae_Ouhod" w:hAnsi="ae_Ouhod" w:cs="ae_Ouhod"/>
        <w:noProof/>
        <w:lang w:eastAsia="fr-FR"/>
      </w:rPr>
      <w:pict>
        <v:shapetype id="_x0000_t32" coordsize="21600,21600" o:spt="32" o:oned="t" path="m,l21600,21600e" filled="f">
          <v:path arrowok="t" fillok="f" o:connecttype="none"/>
          <o:lock v:ext="edit" shapetype="t"/>
        </v:shapetype>
        <v:shape id="AutoShape 36" o:spid="_x0000_s4105" type="#_x0000_t32" style="position:absolute;left:0;text-align:left;margin-left:-74.45pt;margin-top:12.35pt;width:667.1pt;height:0;z-index:25166848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"/>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5E3" w:rsidRPr="00E61AF8" w:rsidRDefault="004F75E3" w:rsidP="004F75E3">
    <w:pPr>
      <w:bidi/>
      <w:spacing w:after="0" w:line="240" w:lineRule="auto"/>
      <w:ind w:right="-1304" w:hanging="1418"/>
      <w:jc w:val="center"/>
      <w:rPr>
        <w:rFonts w:cs="Fanan"/>
        <w:sz w:val="10"/>
        <w:szCs w:val="10"/>
        <w:rtl/>
        <w:lang w:bidi="ar-DZ"/>
      </w:rPr>
    </w:pPr>
  </w:p>
  <w:p w:rsidR="004F75E3" w:rsidRDefault="004F75E3" w:rsidP="004F75E3">
    <w:pPr>
      <w:bidi/>
      <w:spacing w:after="0" w:line="240" w:lineRule="auto"/>
      <w:ind w:right="-1304" w:hanging="1418"/>
      <w:jc w:val="center"/>
      <w:rPr>
        <w:rFonts w:cs="Fanan"/>
        <w:sz w:val="2"/>
        <w:szCs w:val="2"/>
        <w:lang w:bidi="ar-DZ"/>
      </w:rPr>
    </w:pPr>
  </w:p>
  <w:p w:rsidR="004F75E3" w:rsidRDefault="000156F1" w:rsidP="004F75E3">
    <w:pPr>
      <w:bidi/>
      <w:spacing w:after="0" w:line="240" w:lineRule="auto"/>
      <w:ind w:right="-1304" w:hanging="1418"/>
      <w:jc w:val="center"/>
      <w:rPr>
        <w:rFonts w:cs="Fanan"/>
        <w:sz w:val="2"/>
        <w:szCs w:val="2"/>
        <w:lang w:bidi="ar-DZ"/>
      </w:rPr>
    </w:pPr>
    <w:r w:rsidRPr="000156F1">
      <w:rPr>
        <w:rFonts w:ascii="ae_Ouhod" w:hAnsi="ae_Ouhod" w:cs="ae_Ouhod"/>
        <w:noProof/>
        <w:lang w:eastAsia="fr-FR"/>
      </w:rPr>
      <w:pict>
        <v:shapetype id="_x0000_t202" coordsize="21600,21600" o:spt="202" path="m,l,21600r21600,l21600,xe">
          <v:stroke joinstyle="miter"/>
          <v:path gradientshapeok="t" o:connecttype="rect"/>
        </v:shapetype>
        <v:shape id="Text Box 19" o:spid="_x0000_s4102" type="#_x0000_t202" style="position:absolute;left:0;text-align:left;margin-left:111.2pt;margin-top:-.2pt;width:77.3pt;height:69.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" filled="f" stroked="f">
          <v:textbox>
            <w:txbxContent>
              <w:p w:rsidR="004F75E3" w:rsidRDefault="004F75E3" w:rsidP="004F75E3">
                <w:r>
                  <w:rPr>
                    <w:noProof/>
                    <w:lang w:val="en-US"/>
                  </w:rPr>
                  <w:drawing>
                    <wp:inline distT="0" distB="0" distL="0" distR="0">
                      <wp:extent cx="716280" cy="716280"/>
                      <wp:effectExtent l="19050" t="0" r="7620" b="0"/>
                      <wp:docPr id="4"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0156F1">
      <w:rPr>
        <w:rFonts w:cs="AL-Fares"/>
        <w:noProof/>
        <w:sz w:val="28"/>
        <w:szCs w:val="28"/>
        <w:lang w:eastAsia="fr-FR"/>
      </w:rPr>
      <w:pict>
        <v:shape id="Text Box 10" o:spid="_x0000_s4101" type="#_x0000_t202" style="position:absolute;left:0;text-align:left;margin-left:318.9pt;margin-top:-.2pt;width:49.45pt;height:67.9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" filled="f" stroked="f">
          <v:textbox>
            <w:txbxContent>
              <w:p w:rsidR="004F75E3" w:rsidRDefault="004F75E3" w:rsidP="004F75E3">
                <w:r w:rsidRPr="00A27053">
                  <w:rPr>
                    <w:noProof/>
                    <w:lang w:val="en-US"/>
                  </w:rPr>
                  <w:drawing>
                    <wp:inline distT="0" distB="0" distL="0" distR="0">
                      <wp:extent cx="668245" cy="633506"/>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68890" cy="634117"/>
                              </a:xfrm>
                              <a:prstGeom prst="rect">
                                <a:avLst/>
                              </a:prstGeom>
                              <a:noFill/>
                              <a:ln w="9525">
                                <a:noFill/>
                                <a:miter lim="800000"/>
                                <a:headEnd/>
                                <a:tailEnd/>
                              </a:ln>
                            </pic:spPr>
                          </pic:pic>
                        </a:graphicData>
                      </a:graphic>
                    </wp:inline>
                  </w:drawing>
                </w:r>
              </w:p>
            </w:txbxContent>
          </v:textbox>
        </v:shape>
      </w:pict>
    </w:r>
  </w:p>
  <w:p w:rsidR="004F75E3" w:rsidRDefault="004F75E3" w:rsidP="004F75E3">
    <w:pPr>
      <w:bidi/>
      <w:spacing w:after="0" w:line="240" w:lineRule="auto"/>
      <w:ind w:right="-1304" w:hanging="1418"/>
      <w:jc w:val="center"/>
      <w:rPr>
        <w:rFonts w:cs="Fanan"/>
        <w:sz w:val="2"/>
        <w:szCs w:val="2"/>
        <w:lang w:bidi="ar-DZ"/>
      </w:rPr>
    </w:pPr>
  </w:p>
  <w:p w:rsidR="004F75E3" w:rsidRDefault="004F75E3" w:rsidP="004F75E3">
    <w:pPr>
      <w:bidi/>
      <w:spacing w:after="0" w:line="240" w:lineRule="auto"/>
      <w:ind w:right="-1304" w:hanging="1418"/>
      <w:jc w:val="center"/>
      <w:rPr>
        <w:rFonts w:cs="Fanan"/>
        <w:sz w:val="2"/>
        <w:szCs w:val="2"/>
        <w:lang w:bidi="ar-DZ"/>
      </w:rPr>
    </w:pPr>
  </w:p>
  <w:p w:rsidR="004F75E3" w:rsidRDefault="004F75E3" w:rsidP="004F75E3">
    <w:pPr>
      <w:bidi/>
      <w:spacing w:after="0" w:line="240" w:lineRule="auto"/>
      <w:ind w:right="-1304" w:hanging="1418"/>
      <w:jc w:val="center"/>
      <w:rPr>
        <w:rFonts w:cs="Fanan"/>
        <w:sz w:val="2"/>
        <w:szCs w:val="2"/>
        <w:lang w:bidi="ar-DZ"/>
      </w:rPr>
    </w:pPr>
  </w:p>
  <w:p w:rsidR="004F75E3" w:rsidRPr="00DD26EE" w:rsidRDefault="004F75E3" w:rsidP="004F75E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4F75E3" w:rsidRPr="00DD26EE" w:rsidRDefault="000156F1" w:rsidP="004F75E3">
    <w:pPr>
      <w:spacing w:after="0" w:line="240" w:lineRule="auto"/>
      <w:ind w:right="-1304"/>
      <w:jc w:val="center"/>
      <w:rPr>
        <w:rFonts w:ascii="ae_Ouhod" w:hAnsi="ae_Ouhod" w:cs="ae_Ouhod"/>
        <w:b/>
        <w:bCs/>
        <w:sz w:val="26"/>
        <w:szCs w:val="26"/>
        <w:rtl/>
        <w:lang w:bidi="ar-DZ"/>
      </w:rPr>
    </w:pPr>
    <w:r w:rsidRPr="000156F1">
      <w:rPr>
        <w:rFonts w:cs="Fanan"/>
        <w:noProof/>
        <w:sz w:val="24"/>
        <w:szCs w:val="26"/>
        <w:rtl/>
        <w:lang w:eastAsia="fr-FR"/>
      </w:rPr>
      <w:pict>
        <v:shape id="Text Box 13" o:spid="_x0000_s4100" type="#_x0000_t202" style="position:absolute;left:0;text-align:left;margin-left:142.55pt;margin-top:8.25pt;width:207.6pt;height:26.1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" filled="f" stroked="f">
          <v:textbox>
            <w:txbxContent>
              <w:p w:rsidR="004F75E3" w:rsidRPr="00EF6BCC" w:rsidRDefault="004F75E3" w:rsidP="004F75E3">
                <w:pPr>
                  <w:jc w:val="center"/>
                  <w:rPr>
                    <w:rFonts w:ascii="Copperplate Gothic Bold" w:hAnsi="Copperplate Gothic Bold" w:cs="AdvertisingExtraBold"/>
                    <w:b/>
                    <w:bCs/>
                    <w:sz w:val="36"/>
                    <w:szCs w:val="36"/>
                  </w:rPr>
                </w:pPr>
                <w:r w:rsidRPr="00EF6BCC">
                  <w:rPr>
                    <w:rFonts w:ascii="ae_Ouhod" w:hAnsi="ae_Ouhod" w:cs="AdvertisingExtraBold" w:hint="cs"/>
                    <w:b/>
                    <w:bCs/>
                    <w:sz w:val="36"/>
                    <w:szCs w:val="36"/>
                    <w:rtl/>
                    <w:lang w:bidi="ar-DZ"/>
                  </w:rPr>
                  <w:t>مجلة مشكلات الحضارة</w:t>
                </w:r>
              </w:p>
            </w:txbxContent>
          </v:textbox>
        </v:shape>
      </w:pict>
    </w:r>
    <w:r w:rsidR="004F75E3" w:rsidRPr="00DD26EE">
      <w:rPr>
        <w:rFonts w:ascii="Copperplate Gothic Bold" w:hAnsi="Copperplate Gothic Bold" w:cs="AL-Fares"/>
        <w:b/>
        <w:bCs/>
        <w:sz w:val="18"/>
        <w:szCs w:val="18"/>
        <w:lang w:bidi="ar-DZ"/>
      </w:rPr>
      <w:t>Université   Alger</w:t>
    </w:r>
    <w:r w:rsidR="004F75E3" w:rsidRPr="00DD26EE">
      <w:rPr>
        <w:rFonts w:ascii="Copperplate Gothic Bold" w:hAnsi="Copperplate Gothic Bold" w:cs="AL-Fares"/>
        <w:b/>
        <w:bCs/>
        <w:sz w:val="14"/>
        <w:szCs w:val="14"/>
        <w:lang w:bidi="ar-DZ"/>
      </w:rPr>
      <w:t>2</w:t>
    </w:r>
  </w:p>
  <w:p w:rsidR="004F75E3" w:rsidRDefault="004F75E3" w:rsidP="004F75E3">
    <w:pPr>
      <w:pStyle w:val="En-tte"/>
      <w:tabs>
        <w:tab w:val="clear" w:pos="8306"/>
        <w:tab w:val="left" w:pos="4248"/>
        <w:tab w:val="left" w:pos="4956"/>
        <w:tab w:val="left" w:pos="5664"/>
        <w:tab w:val="left" w:pos="5943"/>
      </w:tabs>
      <w:jc w:val="center"/>
    </w:pPr>
  </w:p>
  <w:p w:rsidR="004F75E3" w:rsidRDefault="000156F1" w:rsidP="004F75E3">
    <w:pPr>
      <w:pStyle w:val="En-tte"/>
      <w:jc w:val="center"/>
    </w:pPr>
    <w:r w:rsidRPr="000156F1">
      <w:rPr>
        <w:noProof/>
        <w:lang w:eastAsia="fr-FR"/>
      </w:rPr>
      <w:pict>
        <v:shape id="Text Box 32" o:spid="_x0000_s4099" type="#_x0000_t202" style="position:absolute;left:0;text-align:left;margin-left:176.8pt;margin-top:1.95pt;width:152.55pt;height:22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" filled="f" stroked="f">
          <v:textbox>
            <w:txbxContent>
              <w:p w:rsidR="004F75E3" w:rsidRPr="000A4550" w:rsidRDefault="004F75E3" w:rsidP="004F75E3">
                <w:pPr>
                  <w:rPr>
                    <w:rFonts w:ascii="Copperplate Gothic Bold" w:hAnsi="Copperplate Gothic Bold" w:cs="Times New Roman"/>
                    <w:sz w:val="14"/>
                    <w:szCs w:val="14"/>
                  </w:rPr>
                </w:pPr>
              </w:p>
            </w:txbxContent>
          </v:textbox>
        </v:shape>
      </w:pict>
    </w:r>
  </w:p>
  <w:p w:rsidR="004F75E3" w:rsidRPr="00246677" w:rsidRDefault="000156F1" w:rsidP="004F75E3">
    <w:pPr>
      <w:pStyle w:val="En-tte"/>
      <w:jc w:val="center"/>
      <w:rPr>
        <w:b/>
        <w:bCs/>
      </w:rPr>
    </w:pPr>
    <w:r w:rsidRPr="000156F1">
      <w:rPr>
        <w:rFonts w:ascii="ae_Ouhod" w:hAnsi="ae_Ouhod" w:cs="ae_Ouhod"/>
        <w:noProof/>
        <w:lang w:eastAsia="fr-FR"/>
      </w:rPr>
      <w:pict>
        <v:shapetype id="_x0000_t32" coordsize="21600,21600" o:spt="32" o:oned="t" path="m,l21600,21600e" filled="f">
          <v:path arrowok="t" fillok="f" o:connecttype="none"/>
          <o:lock v:ext="edit" shapetype="t"/>
        </v:shapetype>
        <v:shape id="AutoShape 12" o:spid="_x0000_s4098" type="#_x0000_t32" style="position:absolute;left:0;text-align:left;margin-left:-74.45pt;margin-top:12.35pt;width:667.1pt;height:0;z-index:2516613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95BC6"/>
    <w:multiLevelType w:val="hybridMultilevel"/>
    <w:tmpl w:val="8BA0E86C"/>
    <w:lvl w:ilvl="0" w:tplc="DFBA6184">
      <w:start w:val="1"/>
      <w:numFmt w:val="decimal"/>
      <w:lvlText w:val="%1-"/>
      <w:lvlJc w:val="left"/>
      <w:pPr>
        <w:tabs>
          <w:tab w:val="num" w:pos="1821"/>
        </w:tabs>
        <w:ind w:left="1821" w:hanging="1095"/>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
    <w:nsid w:val="15952E6E"/>
    <w:multiLevelType w:val="hybridMultilevel"/>
    <w:tmpl w:val="C5AA7C30"/>
    <w:lvl w:ilvl="0" w:tplc="0F1ACC84">
      <w:start w:val="1"/>
      <w:numFmt w:val="decimal"/>
      <w:lvlText w:val="%1-"/>
      <w:lvlJc w:val="left"/>
      <w:pPr>
        <w:ind w:left="1211" w:hanging="360"/>
      </w:pPr>
      <w:rPr>
        <w:rFonts w:cs="Times New Roman" w:hint="default"/>
      </w:rPr>
    </w:lvl>
    <w:lvl w:ilvl="1" w:tplc="040C0019" w:tentative="1">
      <w:start w:val="1"/>
      <w:numFmt w:val="lowerLetter"/>
      <w:lvlText w:val="%2."/>
      <w:lvlJc w:val="left"/>
      <w:pPr>
        <w:ind w:left="1931" w:hanging="360"/>
      </w:pPr>
      <w:rPr>
        <w:rFonts w:cs="Times New Roman"/>
      </w:rPr>
    </w:lvl>
    <w:lvl w:ilvl="2" w:tplc="040C001B" w:tentative="1">
      <w:start w:val="1"/>
      <w:numFmt w:val="lowerRoman"/>
      <w:lvlText w:val="%3."/>
      <w:lvlJc w:val="right"/>
      <w:pPr>
        <w:ind w:left="2651" w:hanging="180"/>
      </w:pPr>
      <w:rPr>
        <w:rFonts w:cs="Times New Roman"/>
      </w:rPr>
    </w:lvl>
    <w:lvl w:ilvl="3" w:tplc="040C000F" w:tentative="1">
      <w:start w:val="1"/>
      <w:numFmt w:val="decimal"/>
      <w:lvlText w:val="%4."/>
      <w:lvlJc w:val="left"/>
      <w:pPr>
        <w:ind w:left="3371" w:hanging="360"/>
      </w:pPr>
      <w:rPr>
        <w:rFonts w:cs="Times New Roman"/>
      </w:rPr>
    </w:lvl>
    <w:lvl w:ilvl="4" w:tplc="040C0019" w:tentative="1">
      <w:start w:val="1"/>
      <w:numFmt w:val="lowerLetter"/>
      <w:lvlText w:val="%5."/>
      <w:lvlJc w:val="left"/>
      <w:pPr>
        <w:ind w:left="4091" w:hanging="360"/>
      </w:pPr>
      <w:rPr>
        <w:rFonts w:cs="Times New Roman"/>
      </w:rPr>
    </w:lvl>
    <w:lvl w:ilvl="5" w:tplc="040C001B" w:tentative="1">
      <w:start w:val="1"/>
      <w:numFmt w:val="lowerRoman"/>
      <w:lvlText w:val="%6."/>
      <w:lvlJc w:val="right"/>
      <w:pPr>
        <w:ind w:left="4811" w:hanging="180"/>
      </w:pPr>
      <w:rPr>
        <w:rFonts w:cs="Times New Roman"/>
      </w:rPr>
    </w:lvl>
    <w:lvl w:ilvl="6" w:tplc="040C000F" w:tentative="1">
      <w:start w:val="1"/>
      <w:numFmt w:val="decimal"/>
      <w:lvlText w:val="%7."/>
      <w:lvlJc w:val="left"/>
      <w:pPr>
        <w:ind w:left="5531" w:hanging="360"/>
      </w:pPr>
      <w:rPr>
        <w:rFonts w:cs="Times New Roman"/>
      </w:rPr>
    </w:lvl>
    <w:lvl w:ilvl="7" w:tplc="040C0019" w:tentative="1">
      <w:start w:val="1"/>
      <w:numFmt w:val="lowerLetter"/>
      <w:lvlText w:val="%8."/>
      <w:lvlJc w:val="left"/>
      <w:pPr>
        <w:ind w:left="6251" w:hanging="360"/>
      </w:pPr>
      <w:rPr>
        <w:rFonts w:cs="Times New Roman"/>
      </w:rPr>
    </w:lvl>
    <w:lvl w:ilvl="8" w:tplc="040C001B">
      <w:start w:val="1"/>
      <w:numFmt w:val="lowerRoman"/>
      <w:lvlText w:val="%9."/>
      <w:lvlJc w:val="right"/>
      <w:pPr>
        <w:ind w:left="6971" w:hanging="180"/>
      </w:pPr>
      <w:rPr>
        <w:rFonts w:cs="Times New Roman"/>
      </w:rPr>
    </w:lvl>
  </w:abstractNum>
  <w:abstractNum w:abstractNumId="2">
    <w:nsid w:val="31F42897"/>
    <w:multiLevelType w:val="hybridMultilevel"/>
    <w:tmpl w:val="035C2C68"/>
    <w:lvl w:ilvl="0" w:tplc="D8BE7196">
      <w:start w:val="1"/>
      <w:numFmt w:val="bullet"/>
      <w:lvlText w:val=""/>
      <w:lvlJc w:val="left"/>
      <w:pPr>
        <w:tabs>
          <w:tab w:val="num" w:pos="1266"/>
        </w:tabs>
        <w:ind w:left="1266" w:hanging="360"/>
      </w:pPr>
      <w:rPr>
        <w:rFonts w:ascii="Wingdings" w:hAnsi="Wingdings" w:hint="default"/>
        <w:sz w:val="28"/>
        <w:szCs w:val="28"/>
      </w:rPr>
    </w:lvl>
    <w:lvl w:ilvl="1" w:tplc="04090003" w:tentative="1">
      <w:start w:val="1"/>
      <w:numFmt w:val="bullet"/>
      <w:lvlText w:val="o"/>
      <w:lvlJc w:val="left"/>
      <w:pPr>
        <w:tabs>
          <w:tab w:val="num" w:pos="1986"/>
        </w:tabs>
        <w:ind w:left="1986" w:hanging="360"/>
      </w:pPr>
      <w:rPr>
        <w:rFonts w:ascii="Courier New" w:hAnsi="Courier New" w:cs="Courier New" w:hint="default"/>
      </w:rPr>
    </w:lvl>
    <w:lvl w:ilvl="2" w:tplc="04090005" w:tentative="1">
      <w:start w:val="1"/>
      <w:numFmt w:val="bullet"/>
      <w:lvlText w:val=""/>
      <w:lvlJc w:val="left"/>
      <w:pPr>
        <w:tabs>
          <w:tab w:val="num" w:pos="2706"/>
        </w:tabs>
        <w:ind w:left="2706" w:hanging="360"/>
      </w:pPr>
      <w:rPr>
        <w:rFonts w:ascii="Wingdings" w:hAnsi="Wingdings" w:hint="default"/>
      </w:rPr>
    </w:lvl>
    <w:lvl w:ilvl="3" w:tplc="04090001" w:tentative="1">
      <w:start w:val="1"/>
      <w:numFmt w:val="bullet"/>
      <w:lvlText w:val=""/>
      <w:lvlJc w:val="left"/>
      <w:pPr>
        <w:tabs>
          <w:tab w:val="num" w:pos="3426"/>
        </w:tabs>
        <w:ind w:left="3426" w:hanging="360"/>
      </w:pPr>
      <w:rPr>
        <w:rFonts w:ascii="Symbol" w:hAnsi="Symbol" w:hint="default"/>
      </w:rPr>
    </w:lvl>
    <w:lvl w:ilvl="4" w:tplc="04090003" w:tentative="1">
      <w:start w:val="1"/>
      <w:numFmt w:val="bullet"/>
      <w:lvlText w:val="o"/>
      <w:lvlJc w:val="left"/>
      <w:pPr>
        <w:tabs>
          <w:tab w:val="num" w:pos="4146"/>
        </w:tabs>
        <w:ind w:left="4146" w:hanging="360"/>
      </w:pPr>
      <w:rPr>
        <w:rFonts w:ascii="Courier New" w:hAnsi="Courier New" w:cs="Courier New" w:hint="default"/>
      </w:rPr>
    </w:lvl>
    <w:lvl w:ilvl="5" w:tplc="04090005" w:tentative="1">
      <w:start w:val="1"/>
      <w:numFmt w:val="bullet"/>
      <w:lvlText w:val=""/>
      <w:lvlJc w:val="left"/>
      <w:pPr>
        <w:tabs>
          <w:tab w:val="num" w:pos="4866"/>
        </w:tabs>
        <w:ind w:left="4866" w:hanging="360"/>
      </w:pPr>
      <w:rPr>
        <w:rFonts w:ascii="Wingdings" w:hAnsi="Wingdings" w:hint="default"/>
      </w:rPr>
    </w:lvl>
    <w:lvl w:ilvl="6" w:tplc="04090001" w:tentative="1">
      <w:start w:val="1"/>
      <w:numFmt w:val="bullet"/>
      <w:lvlText w:val=""/>
      <w:lvlJc w:val="left"/>
      <w:pPr>
        <w:tabs>
          <w:tab w:val="num" w:pos="5586"/>
        </w:tabs>
        <w:ind w:left="5586" w:hanging="360"/>
      </w:pPr>
      <w:rPr>
        <w:rFonts w:ascii="Symbol" w:hAnsi="Symbol" w:hint="default"/>
      </w:rPr>
    </w:lvl>
    <w:lvl w:ilvl="7" w:tplc="04090003" w:tentative="1">
      <w:start w:val="1"/>
      <w:numFmt w:val="bullet"/>
      <w:lvlText w:val="o"/>
      <w:lvlJc w:val="left"/>
      <w:pPr>
        <w:tabs>
          <w:tab w:val="num" w:pos="6306"/>
        </w:tabs>
        <w:ind w:left="6306" w:hanging="360"/>
      </w:pPr>
      <w:rPr>
        <w:rFonts w:ascii="Courier New" w:hAnsi="Courier New" w:cs="Courier New" w:hint="default"/>
      </w:rPr>
    </w:lvl>
    <w:lvl w:ilvl="8" w:tplc="04090005" w:tentative="1">
      <w:start w:val="1"/>
      <w:numFmt w:val="bullet"/>
      <w:lvlText w:val=""/>
      <w:lvlJc w:val="left"/>
      <w:pPr>
        <w:tabs>
          <w:tab w:val="num" w:pos="7026"/>
        </w:tabs>
        <w:ind w:left="7026" w:hanging="360"/>
      </w:pPr>
      <w:rPr>
        <w:rFonts w:ascii="Wingdings" w:hAnsi="Wingdings" w:hint="default"/>
      </w:rPr>
    </w:lvl>
  </w:abstractNum>
  <w:abstractNum w:abstractNumId="3">
    <w:nsid w:val="328F64D9"/>
    <w:multiLevelType w:val="hybridMultilevel"/>
    <w:tmpl w:val="AC5E1696"/>
    <w:lvl w:ilvl="0" w:tplc="0F1ACC84">
      <w:start w:val="1"/>
      <w:numFmt w:val="decimal"/>
      <w:lvlText w:val="%1-"/>
      <w:lvlJc w:val="left"/>
      <w:pPr>
        <w:ind w:left="1068" w:hanging="360"/>
      </w:pPr>
      <w:rPr>
        <w:rFonts w:cs="Times New Roman" w:hint="default"/>
      </w:rPr>
    </w:lvl>
    <w:lvl w:ilvl="1" w:tplc="040C0019">
      <w:start w:val="1"/>
      <w:numFmt w:val="lowerLetter"/>
      <w:lvlText w:val="%2."/>
      <w:lvlJc w:val="left"/>
      <w:pPr>
        <w:ind w:left="1700" w:hanging="360"/>
      </w:pPr>
      <w:rPr>
        <w:rFonts w:cs="Times New Roman"/>
      </w:rPr>
    </w:lvl>
    <w:lvl w:ilvl="2" w:tplc="0F1ACC84">
      <w:start w:val="1"/>
      <w:numFmt w:val="decimal"/>
      <w:lvlText w:val="%3-"/>
      <w:lvlJc w:val="left"/>
      <w:pPr>
        <w:ind w:left="2448" w:hanging="180"/>
      </w:pPr>
      <w:rPr>
        <w:rFonts w:cs="Times New Roman" w:hint="default"/>
      </w:rPr>
    </w:lvl>
    <w:lvl w:ilvl="3" w:tplc="040C000F" w:tentative="1">
      <w:start w:val="1"/>
      <w:numFmt w:val="decimal"/>
      <w:lvlText w:val="%4."/>
      <w:lvlJc w:val="left"/>
      <w:pPr>
        <w:ind w:left="3228" w:hanging="360"/>
      </w:pPr>
      <w:rPr>
        <w:rFonts w:cs="Times New Roman"/>
      </w:rPr>
    </w:lvl>
    <w:lvl w:ilvl="4" w:tplc="040C0019" w:tentative="1">
      <w:start w:val="1"/>
      <w:numFmt w:val="lowerLetter"/>
      <w:lvlText w:val="%5."/>
      <w:lvlJc w:val="left"/>
      <w:pPr>
        <w:ind w:left="3948" w:hanging="360"/>
      </w:pPr>
      <w:rPr>
        <w:rFonts w:cs="Times New Roman"/>
      </w:rPr>
    </w:lvl>
    <w:lvl w:ilvl="5" w:tplc="040C001B" w:tentative="1">
      <w:start w:val="1"/>
      <w:numFmt w:val="lowerRoman"/>
      <w:lvlText w:val="%6."/>
      <w:lvlJc w:val="right"/>
      <w:pPr>
        <w:ind w:left="4668" w:hanging="180"/>
      </w:pPr>
      <w:rPr>
        <w:rFonts w:cs="Times New Roman"/>
      </w:rPr>
    </w:lvl>
    <w:lvl w:ilvl="6" w:tplc="040C000F" w:tentative="1">
      <w:start w:val="1"/>
      <w:numFmt w:val="decimal"/>
      <w:lvlText w:val="%7."/>
      <w:lvlJc w:val="left"/>
      <w:pPr>
        <w:ind w:left="5388" w:hanging="360"/>
      </w:pPr>
      <w:rPr>
        <w:rFonts w:cs="Times New Roman"/>
      </w:rPr>
    </w:lvl>
    <w:lvl w:ilvl="7" w:tplc="040C0019" w:tentative="1">
      <w:start w:val="1"/>
      <w:numFmt w:val="lowerLetter"/>
      <w:lvlText w:val="%8."/>
      <w:lvlJc w:val="left"/>
      <w:pPr>
        <w:ind w:left="6108" w:hanging="360"/>
      </w:pPr>
      <w:rPr>
        <w:rFonts w:cs="Times New Roman"/>
      </w:rPr>
    </w:lvl>
    <w:lvl w:ilvl="8" w:tplc="040C001B" w:tentative="1">
      <w:start w:val="1"/>
      <w:numFmt w:val="lowerRoman"/>
      <w:lvlText w:val="%9."/>
      <w:lvlJc w:val="right"/>
      <w:pPr>
        <w:ind w:left="6828" w:hanging="180"/>
      </w:pPr>
      <w:rPr>
        <w:rFonts w:cs="Times New Roman"/>
      </w:rPr>
    </w:lvl>
  </w:abstractNum>
  <w:abstractNum w:abstractNumId="4">
    <w:nsid w:val="391B0393"/>
    <w:multiLevelType w:val="hybridMultilevel"/>
    <w:tmpl w:val="4B184128"/>
    <w:lvl w:ilvl="0" w:tplc="D8666E70">
      <w:start w:val="3"/>
      <w:numFmt w:val="bullet"/>
      <w:lvlText w:val="-"/>
      <w:lvlJc w:val="left"/>
      <w:pPr>
        <w:tabs>
          <w:tab w:val="num" w:pos="1412"/>
        </w:tabs>
        <w:ind w:left="1412" w:hanging="840"/>
      </w:pPr>
      <w:rPr>
        <w:rFonts w:ascii="Times New Roman" w:eastAsia="Times New Roman" w:hAnsi="Times New Roman" w:cs="Traditional Arabic" w:hint="default"/>
        <w:lang w:bidi="ar-SA"/>
      </w:rPr>
    </w:lvl>
    <w:lvl w:ilvl="1" w:tplc="04090003" w:tentative="1">
      <w:start w:val="1"/>
      <w:numFmt w:val="bullet"/>
      <w:lvlText w:val="o"/>
      <w:lvlJc w:val="left"/>
      <w:pPr>
        <w:tabs>
          <w:tab w:val="num" w:pos="1652"/>
        </w:tabs>
        <w:ind w:left="1652" w:hanging="360"/>
      </w:pPr>
      <w:rPr>
        <w:rFonts w:ascii="Courier New" w:hAnsi="Courier New" w:cs="Courier New" w:hint="default"/>
      </w:rPr>
    </w:lvl>
    <w:lvl w:ilvl="2" w:tplc="04090005" w:tentative="1">
      <w:start w:val="1"/>
      <w:numFmt w:val="bullet"/>
      <w:lvlText w:val=""/>
      <w:lvlJc w:val="left"/>
      <w:pPr>
        <w:tabs>
          <w:tab w:val="num" w:pos="2372"/>
        </w:tabs>
        <w:ind w:left="2372" w:hanging="360"/>
      </w:pPr>
      <w:rPr>
        <w:rFonts w:ascii="Wingdings" w:hAnsi="Wingdings" w:hint="default"/>
      </w:rPr>
    </w:lvl>
    <w:lvl w:ilvl="3" w:tplc="04090001" w:tentative="1">
      <w:start w:val="1"/>
      <w:numFmt w:val="bullet"/>
      <w:lvlText w:val=""/>
      <w:lvlJc w:val="left"/>
      <w:pPr>
        <w:tabs>
          <w:tab w:val="num" w:pos="3092"/>
        </w:tabs>
        <w:ind w:left="3092" w:hanging="360"/>
      </w:pPr>
      <w:rPr>
        <w:rFonts w:ascii="Symbol" w:hAnsi="Symbol" w:hint="default"/>
      </w:rPr>
    </w:lvl>
    <w:lvl w:ilvl="4" w:tplc="04090003" w:tentative="1">
      <w:start w:val="1"/>
      <w:numFmt w:val="bullet"/>
      <w:lvlText w:val="o"/>
      <w:lvlJc w:val="left"/>
      <w:pPr>
        <w:tabs>
          <w:tab w:val="num" w:pos="3812"/>
        </w:tabs>
        <w:ind w:left="3812" w:hanging="360"/>
      </w:pPr>
      <w:rPr>
        <w:rFonts w:ascii="Courier New" w:hAnsi="Courier New" w:cs="Courier New" w:hint="default"/>
      </w:rPr>
    </w:lvl>
    <w:lvl w:ilvl="5" w:tplc="04090005" w:tentative="1">
      <w:start w:val="1"/>
      <w:numFmt w:val="bullet"/>
      <w:lvlText w:val=""/>
      <w:lvlJc w:val="left"/>
      <w:pPr>
        <w:tabs>
          <w:tab w:val="num" w:pos="4532"/>
        </w:tabs>
        <w:ind w:left="4532" w:hanging="360"/>
      </w:pPr>
      <w:rPr>
        <w:rFonts w:ascii="Wingdings" w:hAnsi="Wingdings" w:hint="default"/>
      </w:rPr>
    </w:lvl>
    <w:lvl w:ilvl="6" w:tplc="04090001" w:tentative="1">
      <w:start w:val="1"/>
      <w:numFmt w:val="bullet"/>
      <w:lvlText w:val=""/>
      <w:lvlJc w:val="left"/>
      <w:pPr>
        <w:tabs>
          <w:tab w:val="num" w:pos="5252"/>
        </w:tabs>
        <w:ind w:left="5252" w:hanging="360"/>
      </w:pPr>
      <w:rPr>
        <w:rFonts w:ascii="Symbol" w:hAnsi="Symbol" w:hint="default"/>
      </w:rPr>
    </w:lvl>
    <w:lvl w:ilvl="7" w:tplc="04090003" w:tentative="1">
      <w:start w:val="1"/>
      <w:numFmt w:val="bullet"/>
      <w:lvlText w:val="o"/>
      <w:lvlJc w:val="left"/>
      <w:pPr>
        <w:tabs>
          <w:tab w:val="num" w:pos="5972"/>
        </w:tabs>
        <w:ind w:left="5972" w:hanging="360"/>
      </w:pPr>
      <w:rPr>
        <w:rFonts w:ascii="Courier New" w:hAnsi="Courier New" w:cs="Courier New" w:hint="default"/>
      </w:rPr>
    </w:lvl>
    <w:lvl w:ilvl="8" w:tplc="04090005" w:tentative="1">
      <w:start w:val="1"/>
      <w:numFmt w:val="bullet"/>
      <w:lvlText w:val=""/>
      <w:lvlJc w:val="left"/>
      <w:pPr>
        <w:tabs>
          <w:tab w:val="num" w:pos="6692"/>
        </w:tabs>
        <w:ind w:left="6692" w:hanging="360"/>
      </w:pPr>
      <w:rPr>
        <w:rFonts w:ascii="Wingdings" w:hAnsi="Wingdings" w:hint="default"/>
      </w:rPr>
    </w:lvl>
  </w:abstractNum>
  <w:abstractNum w:abstractNumId="5">
    <w:nsid w:val="45190F13"/>
    <w:multiLevelType w:val="hybridMultilevel"/>
    <w:tmpl w:val="D83E7EAC"/>
    <w:lvl w:ilvl="0" w:tplc="04090005">
      <w:start w:val="1"/>
      <w:numFmt w:val="bullet"/>
      <w:lvlText w:val=""/>
      <w:lvlJc w:val="left"/>
      <w:pPr>
        <w:tabs>
          <w:tab w:val="num" w:pos="1080"/>
        </w:tabs>
        <w:ind w:left="1080" w:hanging="360"/>
      </w:pPr>
      <w:rPr>
        <w:rFonts w:ascii="Wingdings" w:hAnsi="Wingdings" w:hint="default"/>
      </w:rPr>
    </w:lvl>
    <w:lvl w:ilvl="1" w:tplc="B394C8AA">
      <w:start w:val="1"/>
      <w:numFmt w:val="lowerLetter"/>
      <w:lvlText w:val="%2."/>
      <w:lvlJc w:val="left"/>
      <w:pPr>
        <w:tabs>
          <w:tab w:val="num" w:pos="1800"/>
        </w:tabs>
        <w:ind w:left="1800" w:hanging="360"/>
      </w:pPr>
      <w:rPr>
        <w:rFonts w:cs="Times New Roman"/>
        <w:b/>
        <w:bCs/>
        <w:sz w:val="28"/>
        <w:szCs w:val="28"/>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
    <w:nsid w:val="4A572C35"/>
    <w:multiLevelType w:val="hybridMultilevel"/>
    <w:tmpl w:val="390CCC3C"/>
    <w:lvl w:ilvl="0" w:tplc="FDC05A26">
      <w:start w:val="1"/>
      <w:numFmt w:val="arabicAlpha"/>
      <w:lvlText w:val="%1-"/>
      <w:lvlJc w:val="left"/>
      <w:pPr>
        <w:tabs>
          <w:tab w:val="num" w:pos="1440"/>
        </w:tabs>
        <w:ind w:left="1440" w:hanging="720"/>
      </w:pPr>
      <w:rPr>
        <w:rFonts w:cs="Times New Roman"/>
        <w:sz w:val="2"/>
        <w:szCs w:val="24"/>
      </w:rPr>
    </w:lvl>
    <w:lvl w:ilvl="1" w:tplc="8F7E7EC4">
      <w:start w:val="1"/>
      <w:numFmt w:val="decimal"/>
      <w:lvlText w:val="%2-"/>
      <w:lvlJc w:val="left"/>
      <w:pPr>
        <w:tabs>
          <w:tab w:val="num" w:pos="1800"/>
        </w:tabs>
        <w:ind w:left="1800" w:hanging="360"/>
      </w:pPr>
      <w:rPr>
        <w:rFonts w:ascii="Times New Roman" w:eastAsia="Times New Roman" w:hAnsi="Times New Roman" w:cs="Times New Roman"/>
        <w:b/>
        <w:bCs/>
        <w:sz w:val="28"/>
        <w:szCs w:val="28"/>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
    <w:nsid w:val="5A8561E9"/>
    <w:multiLevelType w:val="hybridMultilevel"/>
    <w:tmpl w:val="E470463A"/>
    <w:lvl w:ilvl="0" w:tplc="8F483FE8">
      <w:start w:val="8"/>
      <w:numFmt w:val="bullet"/>
      <w:lvlText w:val="-"/>
      <w:lvlJc w:val="left"/>
      <w:pPr>
        <w:ind w:left="1004" w:hanging="360"/>
      </w:pPr>
      <w:rPr>
        <w:rFonts w:ascii="Arial" w:eastAsia="Calibri" w:hAnsi="Arial" w:cs="Arial" w:hint="default"/>
        <w:b/>
        <w:bCs w:val="0"/>
        <w:color w:val="auto"/>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hint="default"/>
      </w:rPr>
    </w:lvl>
    <w:lvl w:ilvl="3" w:tplc="040C000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8">
    <w:nsid w:val="7E944EEC"/>
    <w:multiLevelType w:val="multilevel"/>
    <w:tmpl w:val="F3E4239A"/>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num w:numId="1">
    <w:abstractNumId w:val="7"/>
  </w:num>
  <w:num w:numId="2">
    <w:abstractNumId w:val="8"/>
  </w:num>
  <w:num w:numId="3">
    <w:abstractNumId w:val="6"/>
  </w:num>
  <w:num w:numId="4">
    <w:abstractNumId w:val="0"/>
  </w:num>
  <w:num w:numId="5">
    <w:abstractNumId w:val="5"/>
  </w:num>
  <w:num w:numId="6">
    <w:abstractNumId w:val="2"/>
  </w:num>
  <w:num w:numId="7">
    <w:abstractNumId w:val="4"/>
  </w:num>
  <w:num w:numId="8">
    <w:abstractNumId w:val="3"/>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9458"/>
    <o:shapelayout v:ext="edit">
      <o:idmap v:ext="edit" data="4"/>
      <o:rules v:ext="edit">
        <o:r id="V:Rule3" type="connector" idref="#AutoShape 36"/>
        <o:r id="V:Rule4" type="connector" idref="#AutoShape 12"/>
      </o:rules>
    </o:shapelayout>
  </w:hdrShapeDefaults>
  <w:footnotePr>
    <w:numRestart w:val="eachPage"/>
    <w:footnote w:id="0"/>
    <w:footnote w:id="1"/>
  </w:footnotePr>
  <w:endnotePr>
    <w:numFmt w:val="decimal"/>
    <w:numRestart w:val="eachSect"/>
    <w:endnote w:id="0"/>
    <w:endnote w:id="1"/>
  </w:endnotePr>
  <w:compat/>
  <w:rsids>
    <w:rsidRoot w:val="00A27053"/>
    <w:rsid w:val="000156F1"/>
    <w:rsid w:val="0007145A"/>
    <w:rsid w:val="000E60D2"/>
    <w:rsid w:val="000E765C"/>
    <w:rsid w:val="00134E25"/>
    <w:rsid w:val="00163EC9"/>
    <w:rsid w:val="001D6958"/>
    <w:rsid w:val="001E6B1B"/>
    <w:rsid w:val="00252EAA"/>
    <w:rsid w:val="00290D18"/>
    <w:rsid w:val="002C3E13"/>
    <w:rsid w:val="002F2FCD"/>
    <w:rsid w:val="00331A03"/>
    <w:rsid w:val="00332007"/>
    <w:rsid w:val="00333242"/>
    <w:rsid w:val="0038105F"/>
    <w:rsid w:val="00390004"/>
    <w:rsid w:val="003A0099"/>
    <w:rsid w:val="003D4C05"/>
    <w:rsid w:val="00402C99"/>
    <w:rsid w:val="00427049"/>
    <w:rsid w:val="004411EC"/>
    <w:rsid w:val="004C29C3"/>
    <w:rsid w:val="004F75E3"/>
    <w:rsid w:val="005166BB"/>
    <w:rsid w:val="00530914"/>
    <w:rsid w:val="005617AD"/>
    <w:rsid w:val="00573691"/>
    <w:rsid w:val="005820A5"/>
    <w:rsid w:val="006220B6"/>
    <w:rsid w:val="00636447"/>
    <w:rsid w:val="00655DD2"/>
    <w:rsid w:val="006B5928"/>
    <w:rsid w:val="006C539F"/>
    <w:rsid w:val="006E1587"/>
    <w:rsid w:val="006E65CE"/>
    <w:rsid w:val="006F3EF2"/>
    <w:rsid w:val="007108BD"/>
    <w:rsid w:val="00715CDD"/>
    <w:rsid w:val="00752C35"/>
    <w:rsid w:val="00775E5D"/>
    <w:rsid w:val="00822176"/>
    <w:rsid w:val="00826460"/>
    <w:rsid w:val="00891BA4"/>
    <w:rsid w:val="008C01D2"/>
    <w:rsid w:val="008E21EC"/>
    <w:rsid w:val="008E5537"/>
    <w:rsid w:val="009308D6"/>
    <w:rsid w:val="00980931"/>
    <w:rsid w:val="00992D27"/>
    <w:rsid w:val="00A01C6E"/>
    <w:rsid w:val="00A12360"/>
    <w:rsid w:val="00A175EC"/>
    <w:rsid w:val="00A2389D"/>
    <w:rsid w:val="00A27053"/>
    <w:rsid w:val="00A535DB"/>
    <w:rsid w:val="00A70546"/>
    <w:rsid w:val="00A73078"/>
    <w:rsid w:val="00B5706E"/>
    <w:rsid w:val="00B97D4E"/>
    <w:rsid w:val="00BC65FD"/>
    <w:rsid w:val="00BC6CAA"/>
    <w:rsid w:val="00C959BD"/>
    <w:rsid w:val="00D11835"/>
    <w:rsid w:val="00D377C6"/>
    <w:rsid w:val="00DC1256"/>
    <w:rsid w:val="00DC5074"/>
    <w:rsid w:val="00DC7130"/>
    <w:rsid w:val="00E01E95"/>
    <w:rsid w:val="00E71B6D"/>
    <w:rsid w:val="00ED1A42"/>
    <w:rsid w:val="00EF285F"/>
    <w:rsid w:val="00EF51D6"/>
    <w:rsid w:val="00F01ADF"/>
    <w:rsid w:val="00F341F6"/>
    <w:rsid w:val="00F466A6"/>
    <w:rsid w:val="00F7291C"/>
    <w:rsid w:val="00F85D7E"/>
    <w:rsid w:val="00F915E9"/>
    <w:rsid w:val="00FD7F1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05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053"/>
    <w:pPr>
      <w:tabs>
        <w:tab w:val="center" w:pos="4153"/>
        <w:tab w:val="right" w:pos="8306"/>
      </w:tabs>
      <w:spacing w:after="0" w:line="240" w:lineRule="auto"/>
    </w:pPr>
  </w:style>
  <w:style w:type="character" w:customStyle="1" w:styleId="En-tteCar">
    <w:name w:val="En-tête Car"/>
    <w:basedOn w:val="Policepardfaut"/>
    <w:link w:val="En-tte"/>
    <w:uiPriority w:val="99"/>
    <w:rsid w:val="00A27053"/>
    <w:rPr>
      <w:rFonts w:ascii="Calibri" w:eastAsia="Calibri" w:hAnsi="Calibri" w:cs="Arial"/>
    </w:rPr>
  </w:style>
  <w:style w:type="paragraph" w:styleId="Pieddepage">
    <w:name w:val="footer"/>
    <w:basedOn w:val="Normal"/>
    <w:link w:val="PieddepageCar"/>
    <w:uiPriority w:val="99"/>
    <w:unhideWhenUsed/>
    <w:rsid w:val="00A270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27053"/>
    <w:rPr>
      <w:rFonts w:ascii="Calibri" w:eastAsia="Calibri" w:hAnsi="Calibri" w:cs="Arial"/>
    </w:rPr>
  </w:style>
  <w:style w:type="character" w:styleId="Lienhypertexte">
    <w:name w:val="Hyperlink"/>
    <w:uiPriority w:val="99"/>
    <w:unhideWhenUsed/>
    <w:rsid w:val="00A27053"/>
    <w:rPr>
      <w:color w:val="0000FF"/>
      <w:u w:val="single"/>
    </w:rPr>
  </w:style>
  <w:style w:type="paragraph" w:styleId="Textedebulles">
    <w:name w:val="Balloon Text"/>
    <w:basedOn w:val="Normal"/>
    <w:link w:val="TextedebullesCar"/>
    <w:uiPriority w:val="99"/>
    <w:semiHidden/>
    <w:unhideWhenUsed/>
    <w:rsid w:val="00A270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7053"/>
    <w:rPr>
      <w:rFonts w:ascii="Tahoma" w:eastAsia="Calibri" w:hAnsi="Tahoma" w:cs="Tahoma"/>
      <w:sz w:val="16"/>
      <w:szCs w:val="16"/>
    </w:rPr>
  </w:style>
  <w:style w:type="paragraph" w:styleId="Notedebasdepage">
    <w:name w:val="footnote text"/>
    <w:basedOn w:val="Normal"/>
    <w:link w:val="NotedebasdepageCar"/>
    <w:uiPriority w:val="99"/>
    <w:unhideWhenUsed/>
    <w:rsid w:val="003A0099"/>
    <w:pPr>
      <w:spacing w:after="0" w:line="240" w:lineRule="auto"/>
    </w:pPr>
    <w:rPr>
      <w:rFonts w:asciiTheme="minorHAnsi" w:eastAsiaTheme="minorHAnsi" w:hAnsiTheme="minorHAnsi" w:cstheme="minorBidi"/>
      <w:sz w:val="20"/>
      <w:szCs w:val="20"/>
    </w:rPr>
  </w:style>
  <w:style w:type="character" w:customStyle="1" w:styleId="NotedebasdepageCar">
    <w:name w:val="Note de bas de page Car"/>
    <w:basedOn w:val="Policepardfaut"/>
    <w:link w:val="Notedebasdepage"/>
    <w:uiPriority w:val="99"/>
    <w:rsid w:val="003A0099"/>
    <w:rPr>
      <w:sz w:val="20"/>
      <w:szCs w:val="20"/>
    </w:rPr>
  </w:style>
  <w:style w:type="character" w:styleId="Appelnotedebasdep">
    <w:name w:val="footnote reference"/>
    <w:basedOn w:val="Policepardfaut"/>
    <w:semiHidden/>
    <w:unhideWhenUsed/>
    <w:rsid w:val="003A0099"/>
    <w:rPr>
      <w:vertAlign w:val="superscript"/>
    </w:rPr>
  </w:style>
  <w:style w:type="paragraph" w:styleId="Notedefin">
    <w:name w:val="endnote text"/>
    <w:basedOn w:val="Normal"/>
    <w:link w:val="NotedefinCar"/>
    <w:uiPriority w:val="99"/>
    <w:semiHidden/>
    <w:unhideWhenUsed/>
    <w:rsid w:val="00402C99"/>
    <w:pPr>
      <w:spacing w:after="0" w:line="240" w:lineRule="auto"/>
    </w:pPr>
    <w:rPr>
      <w:sz w:val="20"/>
      <w:szCs w:val="20"/>
    </w:rPr>
  </w:style>
  <w:style w:type="character" w:customStyle="1" w:styleId="NotedefinCar">
    <w:name w:val="Note de fin Car"/>
    <w:basedOn w:val="Policepardfaut"/>
    <w:link w:val="Notedefin"/>
    <w:uiPriority w:val="99"/>
    <w:semiHidden/>
    <w:rsid w:val="00402C99"/>
    <w:rPr>
      <w:rFonts w:ascii="Calibri" w:eastAsia="Calibri" w:hAnsi="Calibri" w:cs="Arial"/>
      <w:sz w:val="20"/>
      <w:szCs w:val="20"/>
    </w:rPr>
  </w:style>
  <w:style w:type="character" w:styleId="Appeldenotedefin">
    <w:name w:val="endnote reference"/>
    <w:basedOn w:val="Policepardfaut"/>
    <w:uiPriority w:val="99"/>
    <w:semiHidden/>
    <w:unhideWhenUsed/>
    <w:rsid w:val="00402C99"/>
    <w:rPr>
      <w:vertAlign w:val="superscript"/>
    </w:rPr>
  </w:style>
</w:styles>
</file>

<file path=word/webSettings.xml><?xml version="1.0" encoding="utf-8"?>
<w:webSettings xmlns:r="http://schemas.openxmlformats.org/officeDocument/2006/relationships" xmlns:w="http://schemas.openxmlformats.org/wordprocessingml/2006/main">
  <w:divs>
    <w:div w:id="1157304834">
      <w:bodyDiv w:val="1"/>
      <w:marLeft w:val="0"/>
      <w:marRight w:val="0"/>
      <w:marTop w:val="0"/>
      <w:marBottom w:val="0"/>
      <w:divBdr>
        <w:top w:val="none" w:sz="0" w:space="0" w:color="auto"/>
        <w:left w:val="none" w:sz="0" w:space="0" w:color="auto"/>
        <w:bottom w:val="none" w:sz="0" w:space="0" w:color="auto"/>
        <w:right w:val="none" w:sz="0" w:space="0" w:color="auto"/>
      </w:divBdr>
    </w:div>
    <w:div w:id="1651716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32677-879B-419E-B2DD-2ED64D4FB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1289</TotalTime>
  <Pages>18</Pages>
  <Words>8155</Words>
  <Characters>46487</Characters>
  <Application>Microsoft Office Word</Application>
  <DocSecurity>0</DocSecurity>
  <Lines>387</Lines>
  <Paragraphs>109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fbs</cp:lastModifiedBy>
  <cp:revision>42</cp:revision>
  <dcterms:created xsi:type="dcterms:W3CDTF">2021-05-27T20:59:00Z</dcterms:created>
  <dcterms:modified xsi:type="dcterms:W3CDTF">2021-06-28T18:56:00Z</dcterms:modified>
</cp:coreProperties>
</file>